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Bdr>
          <w:bottom w:val="nil"/>
        </w:pBdr>
      </w:pPr>
      <w:r>
        <w:t>澄水 962001 五类场景双端内容包</w:t>
      </w:r>
    </w:p>
    <w:p>
      <w:r>
        <w:rPr>
          <w:b/>
        </w:rPr>
        <w:t>桌面共评 V2.11  ·  2026 年 11 月 7 日</w:t>
      </w:r>
    </w:p>
    <w:p>
      <w:r>
        <w:t>适用对象：内容整理、热线、营销、调度、水质、工程及宣传岗位的桌面讨论。</w:t>
      </w:r>
    </w:p>
    <w:p>
      <w:r>
        <w:t>本稿依据既有 V1.1 异常用水与疑似漏水样板，补充停水、水质、防冻和账单说明，保留原有用水报装场景。目的是让用户知道可以安全做什么，让岗位知道接收、核对、交接与反馈什么。</w:t>
      </w:r>
    </w:p>
    <w:p>
      <w:r>
        <w:t>状态说明：本稿是内容整理和桌面推演成果，尚未完成企业制度与岗位审核，不代表已开展一线校核、实际用户试用、正式发布、业务联接或 AI 测试。请勿用于真实业务答复；政策、岗位和渠道以经核实的正式文件为准。</w:t>
      </w:r>
    </w:p>
    <w:p>
      <w:pPr>
        <w:pStyle w:val="Heading1"/>
      </w:pPr>
      <w:r>
        <w:t>一 原计划与本稿对应</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3213"/>
        <w:gridCol w:w="3213"/>
        <w:gridCol w:w="3213"/>
      </w:tblGrid>
      <w:tr>
        <w:trPr>
          <w:tblHeader w:val="true"/>
        </w:trPr>
        <w:tc>
          <w:tcPr>
            <w:tcW w:type="dxa" w:w="2154"/>
            <w:shd w:fill="DCEEF1"/>
            <w:vAlign w:val="center"/>
          </w:tcPr>
          <w:p>
            <w:r>
              <w:rPr>
                <w:b/>
                <w:color w:val="000000"/>
              </w:rPr>
              <w:t>原计划</w:t>
            </w:r>
          </w:p>
        </w:tc>
        <w:tc>
          <w:tcPr>
            <w:tcW w:type="dxa" w:w="4535"/>
            <w:shd w:fill="DCEEF1"/>
            <w:vAlign w:val="center"/>
          </w:tcPr>
          <w:p>
            <w:r>
              <w:rPr>
                <w:b/>
                <w:color w:val="000000"/>
              </w:rPr>
              <w:t>本稿提供</w:t>
            </w:r>
          </w:p>
        </w:tc>
        <w:tc>
          <w:tcPr>
            <w:tcW w:type="dxa" w:w="2665"/>
            <w:shd w:fill="DCEEF1"/>
            <w:vAlign w:val="center"/>
          </w:tcPr>
          <w:p>
            <w:r>
              <w:rPr>
                <w:b/>
                <w:color w:val="000000"/>
              </w:rPr>
              <w:t>状态</w:t>
            </w:r>
          </w:p>
        </w:tc>
      </w:tr>
      <w:tr>
        <w:tc>
          <w:tcPr>
            <w:tcW w:type="dxa" w:w="2154"/>
            <w:vAlign w:val="center"/>
          </w:tcPr>
          <w:p>
            <w:pPr>
              <w:spacing w:after="80" w:before="80"/>
            </w:pPr>
            <w:r>
              <w:rPr>
                <w:sz w:val="19"/>
              </w:rPr>
              <w:t>第 1—2 周 知识清理</w:t>
            </w:r>
          </w:p>
        </w:tc>
        <w:tc>
          <w:tcPr>
            <w:tcW w:type="dxa" w:w="4535"/>
            <w:vAlign w:val="center"/>
          </w:tcPr>
          <w:p>
            <w:pPr>
              <w:spacing w:after="80" w:before="80"/>
            </w:pPr>
            <w:r>
              <w:rPr>
                <w:sz w:val="19"/>
              </w:rPr>
              <w:t>V1.0 风险表述、V1.1 双端方法、来源与待核清单</w:t>
            </w:r>
          </w:p>
        </w:tc>
        <w:tc>
          <w:tcPr>
            <w:tcW w:type="dxa" w:w="2665"/>
            <w:vAlign w:val="center"/>
          </w:tcPr>
          <w:p>
            <w:pPr>
              <w:spacing w:after="80" w:before="80"/>
            </w:pPr>
            <w:r>
              <w:rPr>
                <w:sz w:val="19"/>
              </w:rPr>
              <w:t>桌面整理；企业文件待补</w:t>
            </w:r>
          </w:p>
        </w:tc>
      </w:tr>
      <w:tr>
        <w:tc>
          <w:tcPr>
            <w:tcW w:type="dxa" w:w="2154"/>
            <w:vAlign w:val="center"/>
            <w:shd w:fill="F6FAFB"/>
          </w:tcPr>
          <w:p>
            <w:pPr>
              <w:spacing w:after="80" w:before="80"/>
            </w:pPr>
            <w:r>
              <w:rPr>
                <w:sz w:val="19"/>
              </w:rPr>
              <w:t>第 3—6 周 两个样板</w:t>
            </w:r>
          </w:p>
        </w:tc>
        <w:tc>
          <w:tcPr>
            <w:tcW w:type="dxa" w:w="4535"/>
            <w:vAlign w:val="center"/>
            <w:shd w:fill="F6FAFB"/>
          </w:tcPr>
          <w:p>
            <w:pPr>
              <w:spacing w:after="80" w:before="80"/>
            </w:pPr>
            <w:r>
              <w:rPr>
                <w:sz w:val="19"/>
              </w:rPr>
              <w:t>疑似漏水、用水量异常：用户说明、岗位交接、问答和宣传拟稿</w:t>
            </w:r>
          </w:p>
        </w:tc>
        <w:tc>
          <w:tcPr>
            <w:tcW w:type="dxa" w:w="2665"/>
            <w:vAlign w:val="center"/>
            <w:shd w:fill="F6FAFB"/>
          </w:tcPr>
          <w:p>
            <w:pPr>
              <w:spacing w:after="80" w:before="80"/>
            </w:pPr>
            <w:r>
              <w:rPr>
                <w:sz w:val="19"/>
              </w:rPr>
              <w:t>沿用 V1.1 思路并统一到五类目录</w:t>
            </w:r>
          </w:p>
        </w:tc>
      </w:tr>
      <w:tr>
        <w:tc>
          <w:tcPr>
            <w:tcW w:type="dxa" w:w="2154"/>
            <w:vAlign w:val="center"/>
          </w:tcPr>
          <w:p>
            <w:pPr>
              <w:spacing w:after="80" w:before="80"/>
            </w:pPr>
            <w:r>
              <w:rPr>
                <w:sz w:val="19"/>
              </w:rPr>
              <w:t>第 7—12 周 扩展专题</w:t>
            </w:r>
          </w:p>
        </w:tc>
        <w:tc>
          <w:tcPr>
            <w:tcW w:type="dxa" w:w="4535"/>
            <w:vAlign w:val="center"/>
          </w:tcPr>
          <w:p>
            <w:pPr>
              <w:spacing w:after="80" w:before="80"/>
            </w:pPr>
            <w:r>
              <w:rPr>
                <w:sz w:val="19"/>
              </w:rPr>
              <w:t>停水、水质；账单并入用水量异常；防冻横跨漏水及停水；保留报装</w:t>
            </w:r>
          </w:p>
        </w:tc>
        <w:tc>
          <w:tcPr>
            <w:tcW w:type="dxa" w:w="2665"/>
            <w:vAlign w:val="center"/>
          </w:tcPr>
          <w:p>
            <w:pPr>
              <w:spacing w:after="80" w:before="80"/>
            </w:pPr>
            <w:r>
              <w:rPr>
                <w:sz w:val="19"/>
              </w:rPr>
              <w:t>本轮桌面草稿，不代表已按周开展</w:t>
            </w:r>
          </w:p>
        </w:tc>
      </w:tr>
      <w:tr>
        <w:tc>
          <w:tcPr>
            <w:tcW w:type="dxa" w:w="2154"/>
            <w:vAlign w:val="center"/>
            <w:shd w:fill="F6FAFB"/>
          </w:tcPr>
          <w:p>
            <w:pPr>
              <w:spacing w:after="80" w:before="80"/>
            </w:pPr>
            <w:r>
              <w:rPr>
                <w:sz w:val="19"/>
              </w:rPr>
              <w:t>条件具备时</w:t>
            </w:r>
          </w:p>
        </w:tc>
        <w:tc>
          <w:tcPr>
            <w:tcW w:type="dxa" w:w="4535"/>
            <w:vAlign w:val="center"/>
            <w:shd w:fill="F6FAFB"/>
          </w:tcPr>
          <w:p>
            <w:pPr>
              <w:spacing w:after="80" w:before="80"/>
            </w:pPr>
            <w:r>
              <w:rPr>
                <w:sz w:val="19"/>
              </w:rPr>
              <w:t>企业自行安排审核、试用、发布、系统衔接及 AI 测试</w:t>
            </w:r>
          </w:p>
        </w:tc>
        <w:tc>
          <w:tcPr>
            <w:tcW w:type="dxa" w:w="2665"/>
            <w:vAlign w:val="center"/>
            <w:shd w:fill="F6FAFB"/>
          </w:tcPr>
          <w:p>
            <w:pPr>
              <w:spacing w:after="80" w:before="80"/>
            </w:pPr>
            <w:r>
              <w:rPr>
                <w:sz w:val="19"/>
              </w:rPr>
              <w:t>尚未开展</w:t>
            </w:r>
          </w:p>
        </w:tc>
      </w:tr>
    </w:tbl>
    <w:p>
      <w:pPr>
        <w:spacing w:after="0"/>
      </w:pPr>
    </w:p>
    <w:p>
      <w:pPr>
        <w:pStyle w:val="Heading1"/>
      </w:pPr>
      <w:r>
        <w:t>二 核心边界</w:t>
      </w:r>
    </w:p>
    <w:p>
      <w:pPr>
        <w:pStyle w:val="ListBullet"/>
        <w:spacing w:after="40"/>
      </w:pPr>
      <w:r>
        <w:t>用户入口和员工视角分别组织；内容切换不构成身份认证或权限隔离。</w:t>
      </w:r>
    </w:p>
    <w:p>
      <w:pPr>
        <w:pStyle w:val="ListBullet"/>
        <w:spacing w:after="40"/>
      </w:pPr>
      <w:r>
        <w:t>各场景均需保留“已知事实、待核事项、用户需要、下一步联系”四类交接信息。</w:t>
      </w:r>
    </w:p>
    <w:p>
      <w:pPr>
        <w:pStyle w:val="ListBullet"/>
        <w:spacing w:after="40"/>
      </w:pPr>
      <w:r>
        <w:t>历史报道和汇编可用于识别经验，价格、权限、时限、渠道与覆盖率须核对现行依据。</w:t>
      </w:r>
    </w:p>
    <w:p>
      <w:pPr>
        <w:pStyle w:val="ListBullet"/>
        <w:spacing w:after="40"/>
      </w:pPr>
      <w:r>
        <w:t>无一线现场校核要求；本文不编造员工、用户的实际评价或参与结果。</w:t>
      </w:r>
    </w:p>
    <w:p>
      <w:pPr>
        <w:pStyle w:val="Heading1"/>
      </w:pPr>
      <w:r>
        <w:t>三 五类场景内容卡</w:t>
      </w:r>
    </w:p>
    <w:p>
      <w:pPr>
        <w:pStyle w:val="Heading2"/>
      </w:pPr>
      <w:r>
        <w:t>1 疑似漏水</w:t>
      </w:r>
    </w:p>
    <w:p>
      <w:r>
        <w:rPr>
          <w:b/>
        </w:rPr>
        <w:t>用户最关心：</w:t>
      </w:r>
      <w:r>
        <w:t>发现疑似漏水，我该怎么办？</w:t>
      </w:r>
    </w:p>
    <w:p>
      <w:r>
        <w:rPr>
          <w:b/>
        </w:rPr>
        <w:t>用户短说明：</w:t>
      </w:r>
      <w:r>
        <w:t>先留意现场是否安全，说明看到的现象和位置；不需要先判断管道归谁管理。</w:t>
      </w:r>
    </w:p>
    <w:p>
      <w:r>
        <w:t>1. 积水靠近电气设施、道路塌陷或水势较大时，远离危险区域并及时通过正式渠道反映；危及人身安全时及时联系当地应急救援。</w:t>
      </w:r>
    </w:p>
    <w:p>
      <w:r>
        <w:t>2. 在安全位置描述附近地标、漏水现象、发现时间和影响；不要打开井盖或操作公共阀门。</w:t>
      </w:r>
    </w:p>
    <w:p>
      <w:r>
        <w:t>3. 户内可见漏水时，仅在安全、可操作且有权限的条件下关闭自家阀门；不确定时请专业人员处理。</w:t>
      </w:r>
    </w:p>
    <w:p>
      <w:r>
        <w:t>4. 拨打 962001 或通过经核实的正式渠道联系；工作人员核实后再说明处理安排。</w:t>
      </w:r>
    </w:p>
    <w:p>
      <w:r>
        <w:rPr>
          <w:b/>
        </w:rPr>
        <w:t>说明边界：</w:t>
      </w:r>
      <w:r>
        <w:t>原因、产权责任、费用和完成时间均待核实，不能由照片或单一现象直接认定。</w:t>
      </w:r>
    </w:p>
    <w:p>
      <w:pPr>
        <w:pStyle w:val="Heading3"/>
      </w:pPr>
      <w:r>
        <w:t>岗位接收 核对 交接</w:t>
      </w:r>
    </w:p>
    <w:p>
      <w:pPr>
        <w:keepNext/>
      </w:pPr>
      <w:r>
        <w:rPr>
          <w:b/>
        </w:rPr>
        <w:t>热线受理</w:t>
      </w:r>
    </w:p>
    <w:p>
      <w:r>
        <w:t>接收：现象、地标或位置、发现时间、现场安全信息与用户希望获得的帮助。  核对：确认危险程度与影响范围；不清楚的标为待核；按现行预案升级。  交接：原始描述、风险、位置线索、待核事项、回告需求交调度或相应责任岗位。</w:t>
      </w:r>
    </w:p>
    <w:p>
      <w:pPr>
        <w:keepNext/>
      </w:pPr>
      <w:r>
        <w:rPr>
          <w:b/>
        </w:rPr>
        <w:t>调度与现场核实</w:t>
      </w:r>
    </w:p>
    <w:p>
      <w:r>
        <w:t>接收：受理线索、危险提示和用户联系安排。  核对：在现行作业安全要求下核实设施、范围和处置需求；责任界面不明先协同核实。  交接：记录已核实事实、未明事项、处理阶段及下一次信息更新安排。</w:t>
      </w:r>
    </w:p>
    <w:p>
      <w:pPr>
        <w:keepNext/>
      </w:pPr>
      <w:r>
        <w:rPr>
          <w:b/>
        </w:rPr>
        <w:t>回访与说明</w:t>
      </w:r>
    </w:p>
    <w:p>
      <w:r>
        <w:t>接收：经核实的进展和可对用户说明的信息。  核对：核对是否有新的安全提示或用户需要继续协助。  交接：通过正式渠道反馈，并保留未解决事项和后续联系安排。</w:t>
      </w:r>
    </w:p>
    <w:p>
      <w:pPr>
        <w:pStyle w:val="Heading3"/>
      </w:pPr>
      <w:r>
        <w:t>热线及澄澄问答拟稿</w:t>
      </w:r>
    </w:p>
    <w:p>
      <w:pPr>
        <w:keepNext/>
      </w:pPr>
      <w:r>
        <w:rPr>
          <w:b/>
        </w:rPr>
        <w:t>问：一定要先确定是表前还是表后吗？</w:t>
      </w:r>
    </w:p>
    <w:p>
      <w:r>
        <w:t>答：不必先自行判断。请说明位置和现象，由有关岗位按现行规则核实。</w:t>
      </w:r>
    </w:p>
    <w:p>
      <w:pPr>
        <w:keepNext/>
      </w:pPr>
      <w:r>
        <w:rPr>
          <w:b/>
        </w:rPr>
        <w:t>问：看到积水就能断定是自来水漏吗？</w:t>
      </w:r>
    </w:p>
    <w:p>
      <w:r>
        <w:t>答：不能。来源及设施责任需要结合现场调查。</w:t>
      </w:r>
    </w:p>
    <w:p>
      <w:pPr>
        <w:keepNext/>
      </w:pPr>
      <w:r>
        <w:rPr>
          <w:b/>
        </w:rPr>
        <w:t>问：能保证多久修好吗？</w:t>
      </w:r>
    </w:p>
    <w:p>
      <w:r>
        <w:t>答：修复时间取决于现场情况；请以正式渠道提供的经核实信息为准。</w:t>
      </w:r>
    </w:p>
    <w:p>
      <w:pPr>
        <w:pStyle w:val="Heading3"/>
      </w:pPr>
      <w:r>
        <w:t>专题与内容拟稿</w:t>
      </w:r>
    </w:p>
    <w:p>
      <w:r>
        <w:rPr>
          <w:b/>
        </w:rPr>
        <w:t>季节专题 防冻前后：</w:t>
      </w:r>
      <w:r>
        <w:t>降温前在安全条件下保温自家裸露管线、关好附近门窗；冰冻时不要用明火或开水处理。发生冻裂、明显漏水或无法安全处置，请远离风险并及时求助。</w:t>
      </w:r>
    </w:p>
    <w:p>
      <w:r>
        <w:rPr>
          <w:b/>
        </w:rPr>
        <w:t>公众号短文：</w:t>
      </w:r>
      <w:r>
        <w:t>看见路面有积水、墙角有渗水，不妨先观察周边是否安全。把位置、现象和发现时间告诉 962001，暂时不清楚原因也没有关系。工作人员会按实际情况核实，涉及危险区域不要自行处置。</w:t>
      </w:r>
    </w:p>
    <w:p>
      <w:r>
        <w:rPr>
          <w:b/>
        </w:rPr>
        <w:t>视频分镜：</w:t>
      </w:r>
      <w:r>
        <w:t>1）画面：路边积水，字幕“先看安全”。  2）画面：远处地标，字幕“位置、现象、时间”。  3）画面：拨号界面，旁白“请通过 962001 等正式渠道反映”。  4）结尾：责任和处理时间以现场核实为准。</w:t>
      </w:r>
    </w:p>
    <w:p>
      <w:r>
        <w:rPr>
          <w:b/>
        </w:rPr>
        <w:t>依据与缺口：</w:t>
      </w:r>
      <w:r>
        <w:t>S01、S02、S03、S05、S07。设施边界、分类分派、应急升级与对外时限须依企业现行文件核对。</w:t>
      </w:r>
    </w:p>
    <w:p>
      <w:pPr>
        <w:pStyle w:val="Heading2"/>
      </w:pPr>
      <w:r>
        <w:t>2 用水量异常</w:t>
      </w:r>
    </w:p>
    <w:p>
      <w:r>
        <w:rPr>
          <w:b/>
        </w:rPr>
        <w:t>用户最关心：</w:t>
      </w:r>
      <w:r>
        <w:t>水费或用水量比平时高，先看什么？</w:t>
      </w:r>
    </w:p>
    <w:p>
      <w:r>
        <w:rPr>
          <w:b/>
        </w:rPr>
        <w:t>用户短说明：</w:t>
      </w:r>
      <w:r>
        <w:t>先比较账单对应的天数、用水量和用水情况；用量增加可能有多种原因。</w:t>
      </w:r>
    </w:p>
    <w:p>
      <w:r>
        <w:t>1. 核对用户号、抄表起止日期、账期天数、用水量及已缴情况，不同天数的账单不要直接按总量比较。</w:t>
      </w:r>
    </w:p>
    <w:p>
      <w:r>
        <w:t>2. 回想居住人数、使用习惯和用水设备是否变化；在安全条件下查看可见位置有无持续滴漏。</w:t>
      </w:r>
    </w:p>
    <w:p>
      <w:r>
        <w:t>3. 如能安全观察水表，可在确认家中用水设备均已关闭并等待稳定后观察表计是否继续变化；这只是线索，不能单独认定漏水或表计故障。</w:t>
      </w:r>
    </w:p>
    <w:p>
      <w:r>
        <w:t>4. 仍有疑问时通过 962001 或正式渠道申请核实；不拆卸水表，不进入水表井。</w:t>
      </w:r>
    </w:p>
    <w:p>
      <w:r>
        <w:rPr>
          <w:b/>
        </w:rPr>
        <w:t>说明边界：</w:t>
      </w:r>
      <w:r>
        <w:t>任何减免、赔偿、检测结论或价格适用以现行规定和实际核实为准。</w:t>
      </w:r>
    </w:p>
    <w:p>
      <w:pPr>
        <w:pStyle w:val="Heading3"/>
      </w:pPr>
      <w:r>
        <w:t>岗位接收 核对 交接</w:t>
      </w:r>
    </w:p>
    <w:p>
      <w:pPr>
        <w:keepNext/>
      </w:pPr>
      <w:r>
        <w:rPr>
          <w:b/>
        </w:rPr>
        <w:t>热线受理</w:t>
      </w:r>
    </w:p>
    <w:p>
      <w:r>
        <w:t>接收：用户诉求、对比账期、可描述现象和期望的帮助。  核对：核对账户范围、账期、读数类型及用户描述，不先认定漏水、错抄或表计故障。  交接：移交经授权可核对的账单线索、用户描述与需进一步核查的事项。</w:t>
      </w:r>
    </w:p>
    <w:p>
      <w:pPr>
        <w:keepNext/>
      </w:pPr>
      <w:r>
        <w:rPr>
          <w:b/>
        </w:rPr>
        <w:t>抄表与计量核查</w:t>
      </w:r>
    </w:p>
    <w:p>
      <w:r>
        <w:t>接收：账单区间、原始读数和需核对的疑问。  核对：按正式权限核对抄表、换表、计费及现场事实；需要检测的按现行程序申请。  交接：记录事实、未确认原因、检测或复核安排及可告知的下一步。</w:t>
      </w:r>
    </w:p>
    <w:p>
      <w:pPr>
        <w:keepNext/>
      </w:pPr>
      <w:r>
        <w:rPr>
          <w:b/>
        </w:rPr>
        <w:t>营销与回访</w:t>
      </w:r>
    </w:p>
    <w:p>
      <w:r>
        <w:t>接收：已核实的计费事实、复核结果和政策版本。  核对：对照现行收费文件；涉及争议、补退费或投诉由有权岗位依法依规处理。  交接：清晰说明已核实内容、待办事项及沟通渠道。</w:t>
      </w:r>
    </w:p>
    <w:p>
      <w:pPr>
        <w:pStyle w:val="Heading3"/>
      </w:pPr>
      <w:r>
        <w:t>热线及澄澄问答拟稿</w:t>
      </w:r>
    </w:p>
    <w:p>
      <w:pPr>
        <w:keepNext/>
      </w:pPr>
      <w:r>
        <w:rPr>
          <w:b/>
        </w:rPr>
        <w:t>问：用量高就一定是水表快了吗？</w:t>
      </w:r>
    </w:p>
    <w:p>
      <w:r>
        <w:t>答：不能这样判断。账期变化、用水变化、漏水、抄表和计量等均需逐项核对。</w:t>
      </w:r>
    </w:p>
    <w:p>
      <w:pPr>
        <w:keepNext/>
      </w:pPr>
      <w:r>
        <w:rPr>
          <w:b/>
        </w:rPr>
        <w:t>问：水表转动就能认定漏水吗？</w:t>
      </w:r>
    </w:p>
    <w:p>
      <w:r>
        <w:t>答：只能作为线索；自动补水设备等也可能用水，应进一步核实。</w:t>
      </w:r>
    </w:p>
    <w:p>
      <w:pPr>
        <w:keepNext/>
      </w:pPr>
      <w:r>
        <w:rPr>
          <w:b/>
        </w:rPr>
        <w:t>问：账单有疑问时可以怎么做？</w:t>
      </w:r>
    </w:p>
    <w:p>
      <w:r>
        <w:t>答：准备要对比的账期与问题，通过正式渠道提出复核；收费口径以当前有效政策及核验结果为准。</w:t>
      </w:r>
    </w:p>
    <w:p>
      <w:pPr>
        <w:pStyle w:val="Heading3"/>
      </w:pPr>
      <w:r>
        <w:t>专题与内容拟稿</w:t>
      </w:r>
    </w:p>
    <w:p>
      <w:r>
        <w:rPr>
          <w:b/>
        </w:rPr>
        <w:t>账单与阶梯水价：</w:t>
      </w:r>
      <w:r>
        <w:t>先看账期、抄表读数和用量，再核对适用价格、阶梯与费用构成。具体金额、人口认定、有效期和办理材料，以江阴现行文件和正式渠道为准；历史宣传数字不能直接沿用。</w:t>
      </w:r>
    </w:p>
    <w:p>
      <w:r>
        <w:rPr>
          <w:b/>
        </w:rPr>
        <w:t>公众号短文：</w:t>
      </w:r>
      <w:r>
        <w:t>账单上的数字，让用水变化看得见。先比较账期天数和用水量，再回想近期用水变化；如安全条件允许，可留意可见滴漏。疑问仍在，欢迎通过 962001 联系工作人员逐项核对。</w:t>
      </w:r>
    </w:p>
    <w:p>
      <w:r>
        <w:rPr>
          <w:b/>
        </w:rPr>
        <w:t>视频分镜：</w:t>
      </w:r>
      <w:r>
        <w:t>1）画面：两张示意账单，突出不同账期天数。  2）画面：水龙头及马桶水箱，提示“留意可见滴漏”。  3）画面：示意水表，旁白“转动只是一条线索”。  4）结尾：有疑问联系 962001，不拆表、不自行下结论。</w:t>
      </w:r>
    </w:p>
    <w:p>
      <w:r>
        <w:rPr>
          <w:b/>
        </w:rPr>
        <w:t>依据与缺口：</w:t>
      </w:r>
      <w:r>
        <w:t>S01、S02、S05、S06、S07。现行水价、阶梯人口、复核与检定、减免政策及公众号功能待核。</w:t>
      </w:r>
    </w:p>
    <w:p>
      <w:pPr>
        <w:pStyle w:val="Heading2"/>
      </w:pPr>
      <w:r>
        <w:t>3 停水／水压异常</w:t>
      </w:r>
    </w:p>
    <w:p>
      <w:r>
        <w:rPr>
          <w:b/>
        </w:rPr>
        <w:t>用户最关心：</w:t>
      </w:r>
      <w:r>
        <w:t>家里没水或水压变小，怎么反映？</w:t>
      </w:r>
    </w:p>
    <w:p>
      <w:r>
        <w:rPr>
          <w:b/>
        </w:rPr>
        <w:t>用户短说明：</w:t>
      </w:r>
      <w:r>
        <w:t>先说清楚何时开始、是完全无水还是水压变小，以及周边是否也有类似情况。</w:t>
      </w:r>
    </w:p>
    <w:p>
      <w:r>
        <w:t>1. 留意是否有经核实的停水公告；不能确定原因时，记录现象并联系 962001。</w:t>
      </w:r>
    </w:p>
    <w:p>
      <w:r>
        <w:t>2. 在安全条件下了解同楼或附近情况；不要进入泵房、水表井，不操作公共阀门。</w:t>
      </w:r>
    </w:p>
    <w:p>
      <w:r>
        <w:t>3. 如涉及老人、医疗、学校等特殊用水需求，向受理人员说明，具体保障以正式安排为准。</w:t>
      </w:r>
    </w:p>
    <w:p>
      <w:r>
        <w:t>4. 恢复或进度信息以经核实的正式公告为准；无预计时间时应说明尚待核实。</w:t>
      </w:r>
    </w:p>
    <w:p>
      <w:r>
        <w:rPr>
          <w:b/>
        </w:rPr>
        <w:t>说明边界：</w:t>
      </w:r>
      <w:r>
        <w:t>计划停水与突发事故的通知要求不同；预计恢复时间不能视为保证。</w:t>
      </w:r>
    </w:p>
    <w:p>
      <w:pPr>
        <w:pStyle w:val="Heading3"/>
      </w:pPr>
      <w:r>
        <w:t>岗位接收 核对 交接</w:t>
      </w:r>
    </w:p>
    <w:p>
      <w:pPr>
        <w:keepNext/>
      </w:pPr>
      <w:r>
        <w:rPr>
          <w:b/>
        </w:rPr>
        <w:t>热线受理</w:t>
      </w:r>
    </w:p>
    <w:p>
      <w:r>
        <w:t>接收：开始时间、现象、影响范围、用户特殊需求及可接收消息的方式。  核对：对照当班有效公告；未找到公告不代表没有事故，原因与范围均待核。  交接：向调度交接现象、区域、特殊需求和待反馈事项。</w:t>
      </w:r>
    </w:p>
    <w:p>
      <w:pPr>
        <w:keepNext/>
      </w:pPr>
      <w:r>
        <w:rPr>
          <w:b/>
        </w:rPr>
        <w:t>调度与专业岗位</w:t>
      </w:r>
    </w:p>
    <w:p>
      <w:r>
        <w:t>接收：区域线索、相关公告及重要用户需求。  核对：核对管网与二次供水等实际信息；按现行预案分类、协调处置与保障。  交接：给出已核实范围、当前进展、未知事项、下次更新时间或待定原因。</w:t>
      </w:r>
    </w:p>
    <w:p>
      <w:pPr>
        <w:keepNext/>
      </w:pPr>
      <w:r>
        <w:rPr>
          <w:b/>
        </w:rPr>
        <w:t>信息发布与回访</w:t>
      </w:r>
    </w:p>
    <w:p>
      <w:r>
        <w:t>接收：经批准可公开的内容、更新时间和发布渠道。  核对：核对公告与热线说法一致；对发生变化的信息说明更新，不把预计时间说成承诺。  交接：保留用户反馈和后续回应安排；投诉按正式机制办理。</w:t>
      </w:r>
    </w:p>
    <w:p>
      <w:pPr>
        <w:pStyle w:val="Heading3"/>
      </w:pPr>
      <w:r>
        <w:t>热线及澄澄问答拟稿</w:t>
      </w:r>
    </w:p>
    <w:p>
      <w:pPr>
        <w:keepNext/>
      </w:pPr>
      <w:r>
        <w:rPr>
          <w:b/>
        </w:rPr>
        <w:t>问：没水是不是一定有停水公告？</w:t>
      </w:r>
    </w:p>
    <w:p>
      <w:r>
        <w:t>答：不一定；请通过正式渠道核实，影响范围和原因可能还在调查。</w:t>
      </w:r>
    </w:p>
    <w:p>
      <w:pPr>
        <w:keepNext/>
      </w:pPr>
      <w:r>
        <w:rPr>
          <w:b/>
        </w:rPr>
        <w:t>问：什么时候恢复供水？</w:t>
      </w:r>
    </w:p>
    <w:p>
      <w:r>
        <w:t>答：请以正式渠道更新为准；尚未确定时不作具体时间承诺。</w:t>
      </w:r>
    </w:p>
    <w:p>
      <w:pPr>
        <w:keepNext/>
      </w:pPr>
      <w:r>
        <w:rPr>
          <w:b/>
        </w:rPr>
        <w:t>问：计划停水都需要提前通知吗？</w:t>
      </w:r>
    </w:p>
    <w:p>
      <w:r>
        <w:t>答：《供水条例》对工程施工、设备维修等临时停水的公告或通知有明确要求；突发紧急情况适用相应规定。</w:t>
      </w:r>
    </w:p>
    <w:p>
      <w:pPr>
        <w:pStyle w:val="Heading3"/>
      </w:pPr>
      <w:r>
        <w:t>专题与内容拟稿</w:t>
      </w:r>
    </w:p>
    <w:p>
      <w:r>
        <w:rPr>
          <w:b/>
        </w:rPr>
        <w:t>寒潮遇到无水：</w:t>
      </w:r>
      <w:r>
        <w:t>低温下无水可能有多种原因，不自行判定为冻管；不要用明火或开水解冻，及时通过正式渠道咨询。</w:t>
      </w:r>
    </w:p>
    <w:p>
      <w:r>
        <w:rPr>
          <w:b/>
        </w:rPr>
        <w:t>公众号短文：</w:t>
      </w:r>
      <w:r>
        <w:t>停水或水压变小，先别着急判断原因。记录发现时间、影响现象和大致范围，通过 962001 了解情况。涉及特殊用水需求，也请一并说明；具体安排以正式信息更新为准。</w:t>
      </w:r>
    </w:p>
    <w:p>
      <w:r>
        <w:rPr>
          <w:b/>
        </w:rPr>
        <w:t>视频分镜：</w:t>
      </w:r>
      <w:r>
        <w:t>1）画面：龙头出水变小，字幕“何时开始？无水还是水小？”  2）画面：楼栋示意，字幕“安全了解周边情况”。  3）画面：公告与热线界面，旁白“进展以正式信息更新为准”。  4）结尾：不要进入泵房或操作公共设施。</w:t>
      </w:r>
    </w:p>
    <w:p>
      <w:r>
        <w:rPr>
          <w:b/>
        </w:rPr>
        <w:t>依据与缺口：</w:t>
      </w:r>
      <w:r>
        <w:t>S01、S03、S06、S07。停水公告审批、范围、重点用户保障、恢复供水和特殊事件预案待核。</w:t>
      </w:r>
    </w:p>
    <w:p>
      <w:pPr>
        <w:pStyle w:val="Heading2"/>
      </w:pPr>
      <w:r>
        <w:t>4 水质疑似异常</w:t>
      </w:r>
    </w:p>
    <w:p>
      <w:r>
        <w:rPr>
          <w:b/>
        </w:rPr>
        <w:t>用户最关心：</w:t>
      </w:r>
      <w:r>
        <w:t>水的颜色或气味异常，如何处理？</w:t>
      </w:r>
    </w:p>
    <w:p>
      <w:r>
        <w:rPr>
          <w:b/>
        </w:rPr>
        <w:t>用户短说明：</w:t>
      </w:r>
      <w:r>
        <w:t>发现颜色、气味等异常时，先暂停将可疑水用于饮用和烹饪，及时通过正式渠道反映。</w:t>
      </w:r>
    </w:p>
    <w:p>
      <w:r>
        <w:t>1. 暂不用可疑水饮用或烹饪，优先使用安全来源的水；不要通过品尝判断安全。</w:t>
      </w:r>
    </w:p>
    <w:p>
      <w:r>
        <w:t>2. 说明发现时间、现象、影响地点和周边是否有类似情况，不确定的信息如实说明。</w:t>
      </w:r>
    </w:p>
    <w:p>
      <w:r>
        <w:t>3. 拨打 962001；如有人身体不适，及时就医并说明相关情况。</w:t>
      </w:r>
    </w:p>
    <w:p>
      <w:r>
        <w:t>4. 按专业人员与正式渠道的后续指引行动；不要仅凭水变清、煮沸或 TDS 数值判断安全。</w:t>
      </w:r>
    </w:p>
    <w:p>
      <w:r>
        <w:rPr>
          <w:b/>
        </w:rPr>
        <w:t>说明边界：</w:t>
      </w:r>
      <w:r>
        <w:t>具体原因、是否符合标准及恢复正常使用，需要专业核查和正式信息。</w:t>
      </w:r>
    </w:p>
    <w:p>
      <w:pPr>
        <w:pStyle w:val="Heading3"/>
      </w:pPr>
      <w:r>
        <w:t>岗位接收 核对 交接</w:t>
      </w:r>
    </w:p>
    <w:p>
      <w:pPr>
        <w:keepNext/>
      </w:pPr>
      <w:r>
        <w:rPr>
          <w:b/>
        </w:rPr>
        <w:t>热线受理</w:t>
      </w:r>
    </w:p>
    <w:p>
      <w:r>
        <w:t>接收：水质异常现象、发现时间与地点、影响范围及人员不适信息。  核对：提示暂停饮用可疑水；多户异常、明显异味或人员不适按现行预案及时升级。  交接：交接原始描述、风险、地点和需要反馈的事项；不得预判安全或污染原因。</w:t>
      </w:r>
    </w:p>
    <w:p>
      <w:pPr>
        <w:keepNext/>
      </w:pPr>
      <w:r>
        <w:rPr>
          <w:b/>
        </w:rPr>
        <w:t>调度与水质专业岗位</w:t>
      </w:r>
    </w:p>
    <w:p>
      <w:r>
        <w:t>接收：用户描述、范围线索及安全风险。  核对：按应急预案组织调查，是否采样、检测与处置由专业人员决定。  交接：已核实事实、检测或调查进展、可对外信息及更新安排。</w:t>
      </w:r>
    </w:p>
    <w:p>
      <w:pPr>
        <w:keepNext/>
      </w:pPr>
      <w:r>
        <w:rPr>
          <w:b/>
        </w:rPr>
        <w:t>统一说明与回访</w:t>
      </w:r>
    </w:p>
    <w:p>
      <w:r>
        <w:t>接收：已批准发布的信息和后续要求。  核对：避免将外观正常等同于符合标准；对仍不确定的内容如实说明。  交接：说明已核实结果、未决事项、用户可采取的措施及咨询渠道。</w:t>
      </w:r>
    </w:p>
    <w:p>
      <w:pPr>
        <w:pStyle w:val="Heading3"/>
      </w:pPr>
      <w:r>
        <w:t>热线及澄澄问答拟稿</w:t>
      </w:r>
    </w:p>
    <w:p>
      <w:pPr>
        <w:keepNext/>
      </w:pPr>
      <w:r>
        <w:rPr>
          <w:b/>
        </w:rPr>
        <w:t>问：水变清了就能放心喝吗？</w:t>
      </w:r>
    </w:p>
    <w:p>
      <w:r>
        <w:t>答：外观变化不能独立证明水质安全，请以专业核查与正式指引为准。</w:t>
      </w:r>
    </w:p>
    <w:p>
      <w:pPr>
        <w:keepNext/>
      </w:pPr>
      <w:r>
        <w:rPr>
          <w:b/>
        </w:rPr>
        <w:t>问：TDS 笔显示正常就代表合格吗？</w:t>
      </w:r>
    </w:p>
    <w:p>
      <w:r>
        <w:t>答：不能，TDS 不能单独评价饮用水安全。</w:t>
      </w:r>
    </w:p>
    <w:p>
      <w:pPr>
        <w:keepNext/>
      </w:pPr>
      <w:r>
        <w:rPr>
          <w:b/>
        </w:rPr>
        <w:t>问：有异味或身体不舒服怎么办？</w:t>
      </w:r>
    </w:p>
    <w:p>
      <w:r>
        <w:t>答：暂停使用可疑水饮用和烹饪，及时反映；身体不适应及时就医。</w:t>
      </w:r>
    </w:p>
    <w:p>
      <w:pPr>
        <w:pStyle w:val="Heading3"/>
      </w:pPr>
      <w:r>
        <w:t>专题与内容拟稿</w:t>
      </w:r>
    </w:p>
    <w:p>
      <w:r>
        <w:rPr>
          <w:b/>
        </w:rPr>
        <w:t>科普边界：</w:t>
      </w:r>
      <w:r>
        <w:t>水的颜色、气味变化有多种可能，TDS、肉眼观察或煮沸都不能替代专业判断；不要用“放清就安全”解释异常。</w:t>
      </w:r>
    </w:p>
    <w:p>
      <w:r>
        <w:rPr>
          <w:b/>
        </w:rPr>
        <w:t>公众号短文：</w:t>
      </w:r>
      <w:r>
        <w:t>当水的颜色或气味和平时不一样，请先暂停使用可疑水饮用和烹饪，并通过 962001 反映。把观察到的现象、时间和地点说清楚；不确定的地方交给专业人员核查。</w:t>
      </w:r>
    </w:p>
    <w:p>
      <w:r>
        <w:rPr>
          <w:b/>
        </w:rPr>
        <w:t>视频分镜：</w:t>
      </w:r>
      <w:r>
        <w:t>1）画面：杯中水异常，字幕“暂停饮用和烹饪”。  2）画面：电话界面，旁白“说明现象、时间和地点”。  3）字幕“不要品尝，不凭颜色或 TDS 判断安全”。  4）结尾：身体不适及时就医，后续以正式指引为准。</w:t>
      </w:r>
    </w:p>
    <w:p>
      <w:r>
        <w:rPr>
          <w:b/>
        </w:rPr>
        <w:t>依据与缺口：</w:t>
      </w:r>
      <w:r>
        <w:t>S01、S04、S06、S07。企业水质事件分级、采样检测、消息发布及应急处置要求待核。</w:t>
      </w:r>
    </w:p>
    <w:p>
      <w:pPr>
        <w:pStyle w:val="Heading2"/>
      </w:pPr>
      <w:r>
        <w:t>5 用水报装与接入</w:t>
      </w:r>
    </w:p>
    <w:p>
      <w:r>
        <w:rPr>
          <w:b/>
        </w:rPr>
        <w:t>用户最关心：</w:t>
      </w:r>
      <w:r>
        <w:t>申请用水报装，需要先准备什么？</w:t>
      </w:r>
    </w:p>
    <w:p>
      <w:r>
        <w:rPr>
          <w:b/>
        </w:rPr>
        <w:t>用户短说明：</w:t>
      </w:r>
      <w:r>
        <w:t>先说明项目地点、用途、计划用水时间和需求，再向正式渠道咨询所需材料与办理方式。</w:t>
      </w:r>
    </w:p>
    <w:p>
      <w:r>
        <w:t>1. 准备项目基本情况和可公开的需求信息；具体材料按适用项目类型和最新办事指南核对。</w:t>
      </w:r>
    </w:p>
    <w:p>
      <w:r>
        <w:t>2. 通过 962001 或经确认的正式渠道咨询，按要求提交材料并关注补正事项。</w:t>
      </w:r>
    </w:p>
    <w:p>
      <w:r>
        <w:t>3. 依实际安排配合现场勘察、方案沟通和相关手续办理。</w:t>
      </w:r>
    </w:p>
    <w:p>
      <w:r>
        <w:t>4. 费用、办理时限和通水时间以适用政策及项目具体情况为准。</w:t>
      </w:r>
    </w:p>
    <w:p>
      <w:r>
        <w:rPr>
          <w:b/>
        </w:rPr>
        <w:t>说明边界：</w:t>
      </w:r>
      <w:r>
        <w:t>未完成现场和手续核实前，不承诺固定价格或通水日期。</w:t>
      </w:r>
    </w:p>
    <w:p>
      <w:pPr>
        <w:pStyle w:val="Heading3"/>
      </w:pPr>
      <w:r>
        <w:t>岗位接收 核对 交接</w:t>
      </w:r>
    </w:p>
    <w:p>
      <w:pPr>
        <w:keepNext/>
      </w:pPr>
      <w:r>
        <w:rPr>
          <w:b/>
        </w:rPr>
        <w:t>热线与窗口</w:t>
      </w:r>
    </w:p>
    <w:p>
      <w:r>
        <w:t>接收：申请主体、项目位置、用途、需求和用户疑问。  核对：核对申请类型、当前办理指引和提交渠道；材料不足时说明补正内容。  交接：向经办岗位交接项目线索、材料状态与用户关注点。</w:t>
      </w:r>
    </w:p>
    <w:p>
      <w:pPr>
        <w:keepNext/>
      </w:pPr>
      <w:r>
        <w:rPr>
          <w:b/>
        </w:rPr>
        <w:t>勘察与方案</w:t>
      </w:r>
    </w:p>
    <w:p>
      <w:r>
        <w:t>接收：经授权提供的项目资料和勘察要求。  核对：结合现场、设施条件和外部手续核实供水方案；依制度说明费用依据。  交接：记录已核实条件、方案意见、待协调事项和下一阶段办理要求。</w:t>
      </w:r>
    </w:p>
    <w:p>
      <w:pPr>
        <w:keepNext/>
      </w:pPr>
      <w:r>
        <w:rPr>
          <w:b/>
        </w:rPr>
        <w:t>工程与回访</w:t>
      </w:r>
    </w:p>
    <w:p>
      <w:r>
        <w:t>接收：经批准的方案、工程安排及需要用户配合事项。  核对：按现行规定实施、验收与办理资料移交，变更及时沟通。  交接：向用户说明当前阶段、待办事项、完成情况与后续联系渠道。</w:t>
      </w:r>
    </w:p>
    <w:p>
      <w:pPr>
        <w:pStyle w:val="Heading3"/>
      </w:pPr>
      <w:r>
        <w:t>热线及澄澄问答拟稿</w:t>
      </w:r>
    </w:p>
    <w:p>
      <w:pPr>
        <w:keepNext/>
      </w:pPr>
      <w:r>
        <w:rPr>
          <w:b/>
        </w:rPr>
        <w:t>问：每个项目的材料都一样吗？</w:t>
      </w:r>
    </w:p>
    <w:p>
      <w:r>
        <w:t>答：不一定，应以现行办事指南和项目类型为准。</w:t>
      </w:r>
    </w:p>
    <w:p>
      <w:pPr>
        <w:keepNext/>
      </w:pPr>
      <w:r>
        <w:rPr>
          <w:b/>
        </w:rPr>
        <w:t>问：现在能确定最终费用吗？</w:t>
      </w:r>
    </w:p>
    <w:p>
      <w:r>
        <w:t>答：需要依据现行收费政策、现场条件和适用程序核实。</w:t>
      </w:r>
    </w:p>
    <w:p>
      <w:pPr>
        <w:keepNext/>
      </w:pPr>
      <w:r>
        <w:rPr>
          <w:b/>
        </w:rPr>
        <w:t>问：能马上承诺通水时间吗？</w:t>
      </w:r>
    </w:p>
    <w:p>
      <w:r>
        <w:t>答：要结合现场条件、方案、手续和施工安排确认。</w:t>
      </w:r>
    </w:p>
    <w:p>
      <w:pPr>
        <w:pStyle w:val="Heading3"/>
      </w:pPr>
      <w:r>
        <w:t>专题与内容拟稿</w:t>
      </w:r>
    </w:p>
    <w:p>
      <w:r>
        <w:rPr>
          <w:b/>
        </w:rPr>
        <w:t>衔接既有场景：</w:t>
      </w:r>
      <w:r>
        <w:t>本次保留原报装入口及 V2.10 设计。本卡仅整理共评草稿，具体时限、材料和收费依据待企业核对。</w:t>
      </w:r>
    </w:p>
    <w:p>
      <w:r>
        <w:rPr>
          <w:b/>
        </w:rPr>
        <w:t>公众号短文：</w:t>
      </w:r>
      <w:r>
        <w:t>用水报装涉及申请、核实、方案及后续办理。先向正式渠道说明项目基本情况，工作人员会依据现行指南提示材料与办理事项；涉及费用和时间，请以核实后的说明为准。</w:t>
      </w:r>
    </w:p>
    <w:p>
      <w:r>
        <w:rPr>
          <w:b/>
        </w:rPr>
        <w:t>视频分镜：</w:t>
      </w:r>
      <w:r>
        <w:t>1）画面：项目示意，字幕“位置、用途、用水需求”。  2）画面：材料清单，字幕“以现行指南为准”。  3）画面：现场勘察，字幕“方案、费用与时间逐项核实”。  4）结尾：通过 962001 等正式渠道咨询。</w:t>
      </w:r>
    </w:p>
    <w:p>
      <w:r>
        <w:rPr>
          <w:b/>
        </w:rPr>
        <w:t>依据与缺口：</w:t>
      </w:r>
      <w:r>
        <w:t>S01、S07。现行报装指南、适用条件、收费文件、责任岗位及承诺时限待核。</w:t>
      </w:r>
    </w:p>
    <w:p>
      <w:r>
        <w:br w:type="page"/>
      </w:r>
    </w:p>
    <w:p>
      <w:pPr>
        <w:pStyle w:val="Heading1"/>
      </w:pPr>
      <w:r>
        <w:t>四 历史材料与现行依据</w:t>
      </w:r>
    </w:p>
    <w:p>
      <w:r>
        <w:t>以下分别登记法规、历史实践、地方参考与内部草稿。来源能证明的范围与未能证明的范围应当分开；企业正式制度未提供的内容暂不补写为事实。</w:t>
      </w:r>
    </w:p>
    <w:p>
      <w:pPr>
        <w:keepNext/>
      </w:pPr>
      <w:r>
        <w:rPr>
          <w:b/>
        </w:rPr>
        <w:t>S01  《供水条例》国务院令第 831 号</w:t>
      </w:r>
    </w:p>
    <w:p>
      <w:r>
        <w:t>2026-06-01 施行；现行国家法规，查阅日期 2026-11-07。第 19—23 条信息公开、报装、水质、水压和停水；第 25—27 条收费与投诉；具体业务仍需结合地方和企业制度。</w:t>
      </w:r>
    </w:p>
    <w:p>
      <w:r>
        <w:t>原文：https://www.mohurd.gov.cn/gongkai/fdzdgknr/zgzygwywj/art/2026/art_b453b88ce34c48ca927d903cc7ceb355.html</w:t>
      </w:r>
    </w:p>
    <w:p>
      <w:pPr>
        <w:keepNext/>
      </w:pPr>
      <w:r>
        <w:rPr>
          <w:b/>
        </w:rPr>
        <w:t>S02  江阴市政府《诚心服务 水润万家》民生热线访谈</w:t>
      </w:r>
    </w:p>
    <w:p>
      <w:r>
        <w:t>2021-06-22 访谈；历史公开材料，查阅日期 2026-11-07。可证明当时热线、微信、用户参与与远传提醒做法；历史功能、覆盖率和数量不视为当前情况。</w:t>
      </w:r>
    </w:p>
    <w:p>
      <w:r>
        <w:t>原文：https://www.jiangyin.gov.cn/doc/2021/06/11/957741.shtml</w:t>
      </w:r>
    </w:p>
    <w:p>
      <w:pPr>
        <w:keepNext/>
      </w:pPr>
      <w:r>
        <w:rPr>
          <w:b/>
        </w:rPr>
        <w:t>S03  苏州市水务局防冻保温温馨提示</w:t>
      </w:r>
    </w:p>
    <w:p>
      <w:r>
        <w:t>2025-12-25；外地公开指导，查阅日期 2026-11-07。借鉴防冻避险提示；不能作为江阴的企业操作规程或权责界线。</w:t>
      </w:r>
    </w:p>
    <w:p>
      <w:r>
        <w:t>原文：https://www.suzhou.gov.cn/szsrmzf/mszx/202512/6881ea5cafeb4dabbb5ebc1bc3dbf0fa.shtml</w:t>
      </w:r>
    </w:p>
    <w:p>
      <w:pPr>
        <w:keepNext/>
      </w:pPr>
      <w:r>
        <w:rPr>
          <w:b/>
        </w:rPr>
        <w:t>S04  TDS 笔能否检测水质 北京市住房城乡建设委</w:t>
      </w:r>
    </w:p>
    <w:p>
      <w:r>
        <w:t>2025-10-23；科普公开材料，查阅日期 2026-11-07。TDS 数值不能单独判断生活饮用水是否安全。</w:t>
      </w:r>
    </w:p>
    <w:p>
      <w:r>
        <w:t>原文：https://www.beijing.gov.cn/hudong/bmwd/jsjbmyyt/2025jmwd/2025jmwd2/202510/t20251023_4237179.html</w:t>
      </w:r>
    </w:p>
    <w:p>
      <w:pPr>
        <w:keepNext/>
      </w:pPr>
      <w:r>
        <w:rPr>
          <w:b/>
        </w:rPr>
        <w:t>S05  《澄水 962001 知识底稿 V1.1 异常用水与疑似漏水样板》</w:t>
      </w:r>
    </w:p>
    <w:p>
      <w:r>
        <w:t>用户提供的内部草稿；桌面拟稿，未核验企业审核状态。本次沿用异常用水、疑似漏水的双端说明与交接思路，不作为现行制度。</w:t>
      </w:r>
    </w:p>
    <w:p>
      <w:pPr>
        <w:keepNext/>
      </w:pPr>
      <w:r>
        <w:rPr>
          <w:b/>
        </w:rPr>
        <w:t>S06  两份《澄水 962001 客服知识库体系 V1.0》</w:t>
      </w:r>
    </w:p>
    <w:p>
      <w:r>
        <w:t>用户提供的历史资料汇编；历史材料；原文时效与依据待核。清理停水、水质、收费、防冻和历史渠道说明。不可直接将历史价格、流程和覆盖范围当成现状。</w:t>
      </w:r>
    </w:p>
    <w:p>
      <w:pPr>
        <w:keepNext/>
      </w:pPr>
      <w:r>
        <w:rPr>
          <w:b/>
        </w:rPr>
        <w:t>S07  企业现行制度与地方现行政策</w:t>
      </w:r>
    </w:p>
    <w:p>
      <w:r>
        <w:t>待提供；待补充、待核验。停水公告及应急预案、供水服务承诺、价格和阶梯人口政策、权属界面、职责分工、用户渠道与机器人知识库版本。</w:t>
      </w:r>
    </w:p>
    <w:p>
      <w:pPr>
        <w:pStyle w:val="Heading1"/>
      </w:pPr>
      <w:r>
        <w:t>五 冲突与优先修改事项</w:t>
      </w:r>
    </w:p>
    <w:p>
      <w:pPr>
        <w:keepNext/>
      </w:pPr>
      <w:r>
        <w:rPr>
          <w:b/>
        </w:rPr>
        <w:t>P0  水质异常的安全表述</w:t>
      </w:r>
    </w:p>
    <w:p>
      <w:r>
        <w:t>历史问题：历史汇编对发黄、乳白等现象使用过确定性原因或安全说法。</w:t>
      </w:r>
    </w:p>
    <w:p>
      <w:r>
        <w:t>拟议处理：改为先暂停饮用可疑水、及时反映、专业核查；涉及不适及时就医。  状态：拟稿完成；水质专业复核待定</w:t>
      </w:r>
    </w:p>
    <w:p>
      <w:pPr>
        <w:keepNext/>
      </w:pPr>
      <w:r>
        <w:rPr>
          <w:b/>
        </w:rPr>
        <w:t>P0  停水与事故通知</w:t>
      </w:r>
    </w:p>
    <w:p>
      <w:r>
        <w:t>历史问题：不能把计划停水的规定或预计恢复时间推广为所有事件的统一承诺。</w:t>
      </w:r>
    </w:p>
    <w:p>
      <w:r>
        <w:t>拟议处理：区分计划施工维修与突发紧急情况，对照《供水条例》第 23 条及企业预案。  状态：法规已查；企业预案待补</w:t>
      </w:r>
    </w:p>
    <w:p>
      <w:pPr>
        <w:keepNext/>
      </w:pPr>
      <w:r>
        <w:rPr>
          <w:b/>
        </w:rPr>
        <w:t>P1  历史价格、阶梯和人口政策</w:t>
      </w:r>
    </w:p>
    <w:p>
      <w:r>
        <w:t>历史问题：V1.0 含历史年度价格、阶梯水量、人口政策及办理材料。</w:t>
      </w:r>
    </w:p>
    <w:p>
      <w:r>
        <w:t>拟议处理：不复用历史具体数字；链接现行正式文件，逐项核验生效日、区域和对象。  状态：现行文件及企业口径待核</w:t>
      </w:r>
    </w:p>
    <w:p>
      <w:pPr>
        <w:keepNext/>
      </w:pPr>
      <w:r>
        <w:rPr>
          <w:b/>
        </w:rPr>
        <w:t>P1  微信功能、远传覆盖与提醒</w:t>
      </w:r>
    </w:p>
    <w:p>
      <w:r>
        <w:t>历史问题：历史资料描述远传、微信服务、推送比例和用户规模。</w:t>
      </w:r>
    </w:p>
    <w:p>
      <w:r>
        <w:t>拟议处理：作为历史做法记录，不将旧功能与覆盖率当作当前状态；由渠道岗位核验。  状态：当前渠道能力待核</w:t>
      </w:r>
    </w:p>
    <w:p>
      <w:pPr>
        <w:keepNext/>
      </w:pPr>
      <w:r>
        <w:rPr>
          <w:b/>
        </w:rPr>
        <w:t>P1  供水设施责任与用户自助</w:t>
      </w:r>
    </w:p>
    <w:p>
      <w:r>
        <w:t>历史问题：表前表后、共用设施、户内设施不能只凭一种描述概括全部责任。</w:t>
      </w:r>
    </w:p>
    <w:p>
      <w:r>
        <w:t>拟议处理：保留待核状态；避免指导用户操作公共阀门或进入危险区域。  状态：产权、运维界面待核</w:t>
      </w:r>
    </w:p>
    <w:p>
      <w:pPr>
        <w:keepNext/>
      </w:pPr>
      <w:r>
        <w:rPr>
          <w:b/>
        </w:rPr>
        <w:t>P2  渠道触达和意见反馈</w:t>
      </w:r>
    </w:p>
    <w:p>
      <w:r>
        <w:t>历史问题：阅读量或点赞量不能代表实际解决率和满意度。</w:t>
      </w:r>
    </w:p>
    <w:p>
      <w:r>
        <w:t>拟议处理：先定义分母、样本和观察期，收集可答复意见，再分别统计结果。  状态：表单样式拟定；基线未建立</w:t>
      </w:r>
    </w:p>
    <w:p>
      <w:pPr>
        <w:pStyle w:val="Heading1"/>
      </w:pPr>
      <w:r>
        <w:t>六 试读意见记录空表</w:t>
      </w:r>
    </w:p>
    <w:p>
      <w:r>
        <w:t>每条事项单独记录；不要在桌面草稿中填写真实用户信息。该空表不代表意见已征集或已回复。</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4819"/>
        <w:gridCol w:w="4819"/>
      </w:tblGrid>
      <w:tr>
        <w:trPr>
          <w:tblHeader w:val="true"/>
        </w:trPr>
        <w:tc>
          <w:tcPr>
            <w:tcW w:type="dxa" w:w="3061"/>
            <w:shd w:fill="DCEEF1"/>
            <w:vAlign w:val="center"/>
          </w:tcPr>
          <w:p>
            <w:r>
              <w:rPr>
                <w:b/>
                <w:color w:val="000000"/>
              </w:rPr>
              <w:t>字段</w:t>
            </w:r>
          </w:p>
        </w:tc>
        <w:tc>
          <w:tcPr>
            <w:tcW w:type="dxa" w:w="6293"/>
            <w:shd w:fill="DCEEF1"/>
            <w:vAlign w:val="center"/>
          </w:tcPr>
          <w:p>
            <w:r>
              <w:rPr>
                <w:b/>
                <w:color w:val="000000"/>
              </w:rPr>
              <w:t>填写内容</w:t>
            </w:r>
          </w:p>
        </w:tc>
      </w:tr>
      <w:tr>
        <w:tc>
          <w:tcPr>
            <w:tcW w:type="dxa" w:w="3061"/>
            <w:vAlign w:val="center"/>
          </w:tcPr>
          <w:p>
            <w:pPr>
              <w:spacing w:after="80" w:before="80"/>
            </w:pPr>
            <w:r>
              <w:rPr>
                <w:sz w:val="19"/>
              </w:rPr>
              <w:t>场景与版本</w:t>
            </w:r>
          </w:p>
        </w:tc>
        <w:tc>
          <w:tcPr>
            <w:tcW w:type="dxa" w:w="6293"/>
            <w:vAlign w:val="center"/>
          </w:tcPr>
          <w:p>
            <w:pPr>
              <w:spacing w:after="80" w:before="80"/>
            </w:pPr>
            <w:r>
              <w:rPr>
                <w:sz w:val="19"/>
              </w:rPr>
              <w:t>____________________________</w:t>
            </w:r>
          </w:p>
        </w:tc>
      </w:tr>
      <w:tr>
        <w:tc>
          <w:tcPr>
            <w:tcW w:type="dxa" w:w="3061"/>
            <w:vAlign w:val="center"/>
            <w:shd w:fill="F6FAFB"/>
          </w:tcPr>
          <w:p>
            <w:pPr>
              <w:spacing w:after="80" w:before="80"/>
            </w:pPr>
            <w:r>
              <w:rPr>
                <w:sz w:val="19"/>
              </w:rPr>
              <w:t>用户 / 岗位 / 其他视角</w:t>
            </w:r>
          </w:p>
        </w:tc>
        <w:tc>
          <w:tcPr>
            <w:tcW w:type="dxa" w:w="6293"/>
            <w:vAlign w:val="center"/>
            <w:shd w:fill="F6FAFB"/>
          </w:tcPr>
          <w:p>
            <w:pPr>
              <w:spacing w:after="80" w:before="80"/>
            </w:pPr>
            <w:r>
              <w:rPr>
                <w:sz w:val="19"/>
              </w:rPr>
              <w:t>____________________________</w:t>
            </w:r>
          </w:p>
        </w:tc>
      </w:tr>
      <w:tr>
        <w:tc>
          <w:tcPr>
            <w:tcW w:type="dxa" w:w="3061"/>
            <w:vAlign w:val="center"/>
          </w:tcPr>
          <w:p>
            <w:pPr>
              <w:spacing w:after="80" w:before="80"/>
            </w:pPr>
            <w:r>
              <w:rPr>
                <w:sz w:val="19"/>
              </w:rPr>
              <w:t>问题类别与问题描述</w:t>
            </w:r>
          </w:p>
        </w:tc>
        <w:tc>
          <w:tcPr>
            <w:tcW w:type="dxa" w:w="6293"/>
            <w:vAlign w:val="center"/>
          </w:tcPr>
          <w:p>
            <w:pPr>
              <w:spacing w:after="80" w:before="80"/>
            </w:pPr>
            <w:r>
              <w:rPr>
                <w:sz w:val="19"/>
              </w:rPr>
              <w:t>____________________________</w:t>
            </w:r>
          </w:p>
        </w:tc>
      </w:tr>
      <w:tr>
        <w:tc>
          <w:tcPr>
            <w:tcW w:type="dxa" w:w="3061"/>
            <w:vAlign w:val="center"/>
            <w:shd w:fill="F6FAFB"/>
          </w:tcPr>
          <w:p>
            <w:pPr>
              <w:spacing w:after="80" w:before="80"/>
            </w:pPr>
            <w:r>
              <w:rPr>
                <w:sz w:val="19"/>
              </w:rPr>
              <w:t>建议优先级 P0 / P1 / P2</w:t>
            </w:r>
          </w:p>
        </w:tc>
        <w:tc>
          <w:tcPr>
            <w:tcW w:type="dxa" w:w="6293"/>
            <w:vAlign w:val="center"/>
            <w:shd w:fill="F6FAFB"/>
          </w:tcPr>
          <w:p>
            <w:pPr>
              <w:spacing w:after="80" w:before="80"/>
            </w:pPr>
            <w:r>
              <w:rPr>
                <w:sz w:val="19"/>
              </w:rPr>
              <w:t>____________________________</w:t>
            </w:r>
          </w:p>
        </w:tc>
      </w:tr>
      <w:tr>
        <w:tc>
          <w:tcPr>
            <w:tcW w:type="dxa" w:w="3061"/>
            <w:vAlign w:val="center"/>
          </w:tcPr>
          <w:p>
            <w:pPr>
              <w:spacing w:after="80" w:before="80"/>
            </w:pPr>
            <w:r>
              <w:rPr>
                <w:sz w:val="19"/>
              </w:rPr>
              <w:t>拟处理岗位及截止时间</w:t>
            </w:r>
          </w:p>
        </w:tc>
        <w:tc>
          <w:tcPr>
            <w:tcW w:type="dxa" w:w="6293"/>
            <w:vAlign w:val="center"/>
          </w:tcPr>
          <w:p>
            <w:pPr>
              <w:spacing w:after="80" w:before="80"/>
            </w:pPr>
            <w:r>
              <w:rPr>
                <w:sz w:val="19"/>
              </w:rPr>
              <w:t>____________________________</w:t>
            </w:r>
          </w:p>
        </w:tc>
      </w:tr>
      <w:tr>
        <w:tc>
          <w:tcPr>
            <w:tcW w:type="dxa" w:w="3061"/>
            <w:vAlign w:val="center"/>
            <w:shd w:fill="F6FAFB"/>
          </w:tcPr>
          <w:p>
            <w:pPr>
              <w:spacing w:after="80" w:before="80"/>
            </w:pPr>
            <w:r>
              <w:rPr>
                <w:sz w:val="19"/>
              </w:rPr>
              <w:t>核对依据与处理结果</w:t>
            </w:r>
          </w:p>
        </w:tc>
        <w:tc>
          <w:tcPr>
            <w:tcW w:type="dxa" w:w="6293"/>
            <w:vAlign w:val="center"/>
            <w:shd w:fill="F6FAFB"/>
          </w:tcPr>
          <w:p>
            <w:pPr>
              <w:spacing w:after="80" w:before="80"/>
            </w:pPr>
            <w:r>
              <w:rPr>
                <w:sz w:val="19"/>
              </w:rPr>
              <w:t>____________________________</w:t>
            </w:r>
          </w:p>
        </w:tc>
      </w:tr>
      <w:tr>
        <w:tc>
          <w:tcPr>
            <w:tcW w:type="dxa" w:w="3061"/>
            <w:vAlign w:val="center"/>
          </w:tcPr>
          <w:p>
            <w:pPr>
              <w:spacing w:after="80" w:before="80"/>
            </w:pPr>
            <w:r>
              <w:rPr>
                <w:sz w:val="19"/>
              </w:rPr>
              <w:t>回复方式、时间及是否办结</w:t>
            </w:r>
          </w:p>
        </w:tc>
        <w:tc>
          <w:tcPr>
            <w:tcW w:type="dxa" w:w="6293"/>
            <w:vAlign w:val="center"/>
          </w:tcPr>
          <w:p>
            <w:pPr>
              <w:spacing w:after="80" w:before="80"/>
            </w:pPr>
            <w:r>
              <w:rPr>
                <w:sz w:val="19"/>
              </w:rPr>
              <w:t>____________________________</w:t>
            </w:r>
          </w:p>
        </w:tc>
      </w:tr>
      <w:tr>
        <w:tc>
          <w:tcPr>
            <w:tcW w:type="dxa" w:w="3061"/>
            <w:vAlign w:val="center"/>
            <w:shd w:fill="F6FAFB"/>
          </w:tcPr>
          <w:p>
            <w:pPr>
              <w:spacing w:after="80" w:before="80"/>
            </w:pPr>
            <w:r>
              <w:rPr>
                <w:sz w:val="19"/>
              </w:rPr>
              <w:t>记录人、复核人和日期</w:t>
            </w:r>
          </w:p>
        </w:tc>
        <w:tc>
          <w:tcPr>
            <w:tcW w:type="dxa" w:w="6293"/>
            <w:vAlign w:val="center"/>
            <w:shd w:fill="F6FAFB"/>
          </w:tcPr>
          <w:p>
            <w:pPr>
              <w:spacing w:after="80" w:before="80"/>
            </w:pPr>
            <w:r>
              <w:rPr>
                <w:sz w:val="19"/>
              </w:rPr>
              <w:t>____________________________</w:t>
            </w:r>
          </w:p>
        </w:tc>
      </w:tr>
    </w:tbl>
    <w:p>
      <w:pPr>
        <w:spacing w:after="0"/>
      </w:pPr>
    </w:p>
    <w:p>
      <w:pPr>
        <w:pStyle w:val="Heading1"/>
      </w:pPr>
      <w:r>
        <w:t>七 三项评价口径</w:t>
      </w:r>
    </w:p>
    <w:p>
      <w:pPr>
        <w:keepNext/>
      </w:pPr>
      <w:r>
        <w:rPr>
          <w:b/>
        </w:rPr>
        <w:t>用户找得到</w:t>
      </w:r>
    </w:p>
    <w:p>
      <w:r>
        <w:t>在指定情景任务下，独立找到对应说明与正式咨询入口的人数 ÷ 完成该项任务的有效参与人数。</w:t>
      </w:r>
    </w:p>
    <w:p>
      <w:r>
        <w:t>边界：记录样本、年龄或渠道分组、任务和观察期；未尝试者单独记录，不计成功。</w:t>
      </w:r>
    </w:p>
    <w:p>
      <w:pPr>
        <w:keepNext/>
      </w:pPr>
      <w:r>
        <w:rPr>
          <w:b/>
        </w:rPr>
        <w:t>用户听得懂</w:t>
      </w:r>
    </w:p>
    <w:p>
      <w:r>
        <w:t>在阅读后，能够用自己的话说出安全动作、需要求助的情形和求助入口的人数 ÷ 完成该项访谈的有效参与人数。</w:t>
      </w:r>
    </w:p>
    <w:p>
      <w:r>
        <w:t>边界：采用统一提问和事先定义的评分；不得用点击数代替。</w:t>
      </w:r>
    </w:p>
    <w:p>
      <w:pPr>
        <w:keepNext/>
      </w:pPr>
      <w:r>
        <w:rPr>
          <w:b/>
        </w:rPr>
        <w:t>反馈有回应</w:t>
      </w:r>
    </w:p>
    <w:p>
      <w:r>
        <w:t>观察期内受理且截至统计时已到约定回复截止时间的有效事项中，按时完成首次有效回复的事项数 ÷ 已到期应回复有效事项数。</w:t>
      </w:r>
    </w:p>
    <w:p>
      <w:r>
        <w:t>边界：按事项去重，记录约定时间、时钟起止、实际回复与未回复；逾期未回复计入分母，尚未到期及未约定时间分别报告；首次回复不等于办结。</w:t>
      </w:r>
    </w:p>
    <w:p>
      <w:r>
        <w:t>现阶段样本数、基线、目标和实际结果均为空。阅读量、点赞量、机器人匹配率、业务办结率和满意度应分别统计，不互相替代。</w:t>
      </w:r>
    </w:p>
    <w:p>
      <w:pPr>
        <w:pStyle w:val="Heading1"/>
      </w:pPr>
      <w:r>
        <w:t>八 版本维护</w:t>
      </w:r>
    </w:p>
    <w:tbl>
      <w:tblPr>
        <w:tblW w:type="auto" w:w="0"/>
        <w:jc w:val="center"/>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2409"/>
        <w:gridCol w:w="2409"/>
        <w:gridCol w:w="2409"/>
        <w:gridCol w:w="2409"/>
      </w:tblGrid>
      <w:tr>
        <w:trPr>
          <w:tblHeader w:val="true"/>
        </w:trPr>
        <w:tc>
          <w:tcPr>
            <w:tcW w:type="dxa" w:w="1247"/>
            <w:shd w:fill="DCEEF1"/>
            <w:vAlign w:val="center"/>
          </w:tcPr>
          <w:p>
            <w:r>
              <w:rPr>
                <w:b/>
                <w:color w:val="000000"/>
              </w:rPr>
              <w:t>版本</w:t>
            </w:r>
          </w:p>
        </w:tc>
        <w:tc>
          <w:tcPr>
            <w:tcW w:type="dxa" w:w="1757"/>
            <w:shd w:fill="DCEEF1"/>
            <w:vAlign w:val="center"/>
          </w:tcPr>
          <w:p>
            <w:r>
              <w:rPr>
                <w:b/>
                <w:color w:val="000000"/>
              </w:rPr>
              <w:t>日期</w:t>
            </w:r>
          </w:p>
        </w:tc>
        <w:tc>
          <w:tcPr>
            <w:tcW w:type="dxa" w:w="3969"/>
            <w:shd w:fill="DCEEF1"/>
            <w:vAlign w:val="center"/>
          </w:tcPr>
          <w:p>
            <w:r>
              <w:rPr>
                <w:b/>
                <w:color w:val="000000"/>
              </w:rPr>
              <w:t>变更内容</w:t>
            </w:r>
          </w:p>
        </w:tc>
        <w:tc>
          <w:tcPr>
            <w:tcW w:type="dxa" w:w="2381"/>
            <w:shd w:fill="DCEEF1"/>
            <w:vAlign w:val="center"/>
          </w:tcPr>
          <w:p>
            <w:r>
              <w:rPr>
                <w:b/>
                <w:color w:val="000000"/>
              </w:rPr>
              <w:t>状态</w:t>
            </w:r>
          </w:p>
        </w:tc>
      </w:tr>
      <w:tr>
        <w:tc>
          <w:tcPr>
            <w:tcW w:type="dxa" w:w="1247"/>
            <w:vAlign w:val="center"/>
          </w:tcPr>
          <w:p>
            <w:pPr>
              <w:spacing w:after="80" w:before="80"/>
            </w:pPr>
            <w:r>
              <w:rPr>
                <w:sz w:val="19"/>
              </w:rPr>
              <w:t>V1.1</w:t>
            </w:r>
          </w:p>
        </w:tc>
        <w:tc>
          <w:tcPr>
            <w:tcW w:type="dxa" w:w="1757"/>
            <w:vAlign w:val="center"/>
          </w:tcPr>
          <w:p>
            <w:pPr>
              <w:spacing w:after="80" w:before="80"/>
            </w:pPr>
            <w:r>
              <w:rPr>
                <w:sz w:val="19"/>
              </w:rPr>
              <w:t>见原底稿</w:t>
            </w:r>
          </w:p>
        </w:tc>
        <w:tc>
          <w:tcPr>
            <w:tcW w:type="dxa" w:w="3969"/>
            <w:vAlign w:val="center"/>
          </w:tcPr>
          <w:p>
            <w:pPr>
              <w:spacing w:after="80" w:before="80"/>
            </w:pPr>
            <w:r>
              <w:rPr>
                <w:sz w:val="19"/>
              </w:rPr>
              <w:t>异常用水与疑似漏水样板</w:t>
            </w:r>
          </w:p>
        </w:tc>
        <w:tc>
          <w:tcPr>
            <w:tcW w:type="dxa" w:w="2381"/>
            <w:vAlign w:val="center"/>
          </w:tcPr>
          <w:p>
            <w:pPr>
              <w:spacing w:after="80" w:before="80"/>
            </w:pPr>
            <w:r>
              <w:rPr>
                <w:sz w:val="19"/>
              </w:rPr>
              <w:t>原有草稿</w:t>
            </w:r>
          </w:p>
        </w:tc>
      </w:tr>
      <w:tr>
        <w:tc>
          <w:tcPr>
            <w:tcW w:type="dxa" w:w="1247"/>
            <w:vAlign w:val="center"/>
            <w:shd w:fill="F6FAFB"/>
          </w:tcPr>
          <w:p>
            <w:pPr>
              <w:spacing w:after="80" w:before="80"/>
            </w:pPr>
            <w:r>
              <w:rPr>
                <w:sz w:val="19"/>
              </w:rPr>
              <w:t>V2.11</w:t>
            </w:r>
          </w:p>
        </w:tc>
        <w:tc>
          <w:tcPr>
            <w:tcW w:type="dxa" w:w="1757"/>
            <w:vAlign w:val="center"/>
            <w:shd w:fill="F6FAFB"/>
          </w:tcPr>
          <w:p>
            <w:pPr>
              <w:spacing w:after="80" w:before="80"/>
            </w:pPr>
            <w:r>
              <w:rPr>
                <w:sz w:val="19"/>
              </w:rPr>
              <w:t>2026-11-07</w:t>
            </w:r>
          </w:p>
        </w:tc>
        <w:tc>
          <w:tcPr>
            <w:tcW w:type="dxa" w:w="3969"/>
            <w:vAlign w:val="center"/>
            <w:shd w:fill="F6FAFB"/>
          </w:tcPr>
          <w:p>
            <w:pPr>
              <w:spacing w:after="80" w:before="80"/>
            </w:pPr>
            <w:r>
              <w:rPr>
                <w:sz w:val="19"/>
              </w:rPr>
              <w:t>扩展五类场景、账单和防冻；补充空白意见表与风险台账</w:t>
            </w:r>
          </w:p>
        </w:tc>
        <w:tc>
          <w:tcPr>
            <w:tcW w:type="dxa" w:w="2381"/>
            <w:vAlign w:val="center"/>
            <w:shd w:fill="F6FAFB"/>
          </w:tcPr>
          <w:p>
            <w:pPr>
              <w:spacing w:after="80" w:before="80"/>
            </w:pPr>
            <w:r>
              <w:rPr>
                <w:sz w:val="19"/>
              </w:rPr>
              <w:t>桌面共评草稿，待核对</w:t>
            </w:r>
          </w:p>
        </w:tc>
      </w:tr>
    </w:tbl>
    <w:p>
      <w:pPr>
        <w:spacing w:after="0"/>
      </w:pPr>
    </w:p>
    <w:p>
      <w:r>
        <w:t>拟议维护责任：内容归口岗位登记版本和来源；业务岗位复核流程、职责和事实；专业岗位复核安全与技术；法务或制度归口岗位复核政策；宣传岗位调整用户表达；经授权人员按企业程序决定是否发布。以上均为建议，具体人员和程序尚未指定。</w:t>
      </w:r>
    </w:p>
    <w:sectPr w:rsidR="00FC693F" w:rsidRPr="0006063C" w:rsidSect="00034616">
      <w:headerReference w:type="default" r:id="rId9"/>
      <w:footerReference w:type="default" r:id="rId10"/>
      <w:pgSz w:w="11906" w:h="16838"/>
      <w:pgMar w:top="1020"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桌面共评草稿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ption"/>
    </w:pPr>
    <w:r>
      <w:rPr>
        <w:color w:val="5B7078"/>
      </w:rPr>
      <w:t>澄水 962001   场景知识与用户参与</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81" w:lineRule="auto"/>
    </w:pPr>
    <w:rPr>
      <w:rFonts w:ascii="Noto Sans CJK SC" w:hAnsi="Noto Sans CJK SC" w:eastAsia="Noto Sans CJK SC"/>
      <w:color w:val="1F293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Noto Sans CJK SC" w:hAnsi="Noto Sans CJK SC" w:eastAsia="Noto Sans CJK SC"/>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Noto Sans CJK SC" w:hAnsi="Noto Sans CJK SC" w:eastAsia="Noto Sans CJK SC"/>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20" w:after="100"/>
      <w:outlineLvl w:val="2"/>
    </w:pPr>
    <w:rPr>
      <w:rFonts w:asciiTheme="majorHAnsi" w:eastAsiaTheme="majorEastAsia" w:hAnsiTheme="majorHAnsi" w:cstheme="majorBidi" w:ascii="Noto Sans CJK SC" w:hAnsi="Noto Sans CJK SC" w:eastAsia="Noto Sans CJK SC"/>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00" w:line="240" w:lineRule="auto" w:before="0"/>
      <w:contextualSpacing/>
    </w:pPr>
    <w:rPr>
      <w:rFonts w:asciiTheme="majorHAnsi" w:eastAsiaTheme="majorEastAsia" w:hAnsiTheme="majorHAnsi" w:cstheme="majorBidi" w:ascii="Noto Sans CJK SC" w:hAnsi="Noto Sans CJK SC" w:eastAsia="Noto Sans CJK SC"/>
      <w:b/>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澄水962001 五类场景双端内容包 桌面共评 V2.11</dc:title>
  <dc:subject>用户参与、岗位交接与内容治理</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