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澄水962001两个场景内容样板与待核清单</w:t>
      </w:r>
    </w:p>
    <w:p>
      <w:r>
        <w:t>V2.13 桌面研发收口稿  |  2026年11月8日</w:t>
      </w:r>
    </w:p>
    <w:p>
      <w:r>
        <w:t>供内容维护、客服、业务、宣传和系统岗位讨论。本文将空置房异常用水与普通疑似漏水，分别整理成用户说明、岗位交接、热线及机器人问答、文章和短视频脚本，并列出企业以后审核所需材料。</w:t>
      </w:r>
    </w:p>
    <w:p>
      <w:r>
        <w:t>使用状态：全部为桌面拟稿，未经企业业务、专业或发布审核。岗位名称和交接关系为建议；不代表真实工单、用户意见或员工评审。暂不要求一线现场校核。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152"/>
        <w:gridCol w:w="4320"/>
        <w:gridCol w:w="4320"/>
      </w:tblGrid>
      <w:tr>
        <w:tc>
          <w:tcPr>
            <w:tcW w:type="dxa" w:w="1152"/>
            <w:shd w:fill="DFEAF1"/>
          </w:tcPr>
          <w:p>
            <w:pPr>
              <w:spacing w:after="60"/>
            </w:pPr>
            <w:r>
              <w:rPr>
                <w:b/>
                <w:sz w:val="18"/>
              </w:rPr>
              <w:t>样板</w:t>
            </w:r>
          </w:p>
        </w:tc>
        <w:tc>
          <w:tcPr>
            <w:tcW w:type="dxa" w:w="4320"/>
            <w:shd w:fill="DFEAF1"/>
          </w:tcPr>
          <w:p>
            <w:pPr>
              <w:spacing w:after="60"/>
            </w:pPr>
            <w:r>
              <w:rPr>
                <w:b/>
                <w:sz w:val="18"/>
              </w:rPr>
              <w:t>对应条目</w:t>
            </w:r>
          </w:p>
        </w:tc>
        <w:tc>
          <w:tcPr>
            <w:tcW w:type="dxa" w:w="4320"/>
            <w:shd w:fill="DFEAF1"/>
          </w:tcPr>
          <w:p>
            <w:pPr>
              <w:spacing w:after="60"/>
            </w:pPr>
            <w:r>
              <w:rPr>
                <w:b/>
                <w:sz w:val="18"/>
              </w:rPr>
              <w:t>首要目标</w:t>
            </w:r>
          </w:p>
        </w:tc>
      </w:tr>
      <w:tr>
        <w:tc>
          <w:tcPr>
            <w:tcW w:type="dxa" w:w="1152"/>
            <w:vAlign w:val="center"/>
          </w:tcPr>
          <w:p>
            <w:pPr>
              <w:spacing w:after="60"/>
            </w:pPr>
            <w:r>
              <w:rPr>
                <w:sz w:val="18"/>
              </w:rPr>
              <w:t>空置房有水量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SC-02 / B04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先看账期、读数与空置区间</w:t>
            </w:r>
          </w:p>
        </w:tc>
      </w:tr>
      <w:tr>
        <w:tc>
          <w:tcPr>
            <w:tcW w:type="dxa" w:w="1152"/>
            <w:vAlign w:val="center"/>
          </w:tcPr>
          <w:p>
            <w:pPr>
              <w:spacing w:after="60"/>
            </w:pPr>
            <w:r>
              <w:rPr>
                <w:sz w:val="18"/>
              </w:rPr>
              <w:t>普通疑似漏水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SC-01 / B01、B02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安全观察、明确位置、人工核查</w:t>
            </w:r>
          </w:p>
        </w:tc>
      </w:tr>
    </w:tbl>
    <w:p>
      <w:r>
        <w:t>维护关系：本文件为本次生成快照；15条问题记录和版本以V2.13维护台账为准。实际公众号、视频号、热线、澄澄与工单系统没有因此更新。</w:t>
      </w:r>
    </w:p>
    <w:p>
      <w:pPr>
        <w:pStyle w:val="Heading1"/>
      </w:pPr>
      <w:r>
        <w:t>一 空置房有水量 用户与岗位卡</w:t>
      </w:r>
    </w:p>
    <w:p>
      <w:pPr>
        <w:pStyle w:val="Heading2"/>
      </w:pPr>
      <w:r>
        <w:t>用户短说明</w:t>
      </w:r>
    </w:p>
    <w:p>
      <w:r>
        <w:t>房屋空置期间账单还有水量，先看看账单起止日期与实际空置时间是否一致；读数日期、抄见方式和用水设施等也可能需要核对。仍有疑问，可拨打962001咨询。不便查看水表也没有关系，不要自行拆表或打开井盖。</w:t>
      </w:r>
    </w:p>
    <w:p>
      <w:pPr>
        <w:pStyle w:val="Heading2"/>
      </w:pPr>
      <w:r>
        <w:t>员工核对与交接</w:t>
      </w:r>
    </w:p>
    <w:p>
      <w:pPr>
        <w:pStyle w:val="ListBullet"/>
      </w:pPr>
      <w:r>
        <w:t>受理：记录用户原话、联系方式的业务必要性、账单周期和大致空置时间；核对身份及信息访问权限。</w:t>
      </w:r>
    </w:p>
    <w:p>
      <w:pPr>
        <w:pStyle w:val="ListBullet"/>
      </w:pPr>
      <w:r>
        <w:t>核对：比较起止读数及日期，区分实抄、估抄、自报、换表或数据更新时间；区分已核事实与用户观察。</w:t>
      </w:r>
    </w:p>
    <w:p>
      <w:pPr>
        <w:pStyle w:val="ListBullet"/>
      </w:pPr>
      <w:r>
        <w:t>交接：传递用户疑问、账期和空置区间、读数来源、已核与待核问题、用户希望的反馈方式；具体接收岗位以企业职责为准。</w:t>
      </w:r>
    </w:p>
    <w:p>
      <w:r>
        <w:t>判断边界：不能仅凭空置有水量认定漏水、盗水或水表故障；表针静止或转动都只是观察线索。检测、收费、减免和责任按现行规则与核查结果处理。</w:t>
      </w:r>
    </w:p>
    <w:p>
      <w:pPr>
        <w:pStyle w:val="Heading2"/>
      </w:pPr>
      <w:r>
        <w:t>热线及澄澄拟答</w:t>
      </w:r>
    </w:p>
    <w:p>
      <w:r>
        <w:t>热线：您好，请问账单对应哪段时间，房屋大约从什么时候开始空置？我们可按流程核对账期与读数；不方便查看水表也可以先说明情况。</w:t>
      </w:r>
    </w:p>
    <w:p>
      <w:r>
        <w:t>澄澄：请先对照账单周期与空置时间。水量变化有多种可能，不能直接判断原因；需要人工核对时请通过962001咨询。具体入口和转人工方式待核。</w:t>
      </w:r>
    </w:p>
    <w:p>
      <w:r>
        <w:br w:type="page"/>
      </w:r>
    </w:p>
    <w:p>
      <w:pPr>
        <w:pStyle w:val="Heading1"/>
      </w:pPr>
      <w:r>
        <w:t>空置房有水量 公众号文章拟稿</w:t>
      </w:r>
    </w:p>
    <w:p>
      <w:r>
        <w:t>题目：房子空着，账单为什么还有水量？</w:t>
      </w:r>
    </w:p>
    <w:p>
      <w:r>
        <w:t>一段时间没有住人，账单上却出现用水量，先别着急下结论。账单记录的是一个计费周期，房屋开始空置的日期可能与账期起点不同；先把两个时间段放在一起比较。</w:t>
      </w:r>
    </w:p>
    <w:p>
      <w:r>
        <w:t>再看看账单读数日期和上期记录。如果存在读数方式变化、换表或数据更新时间差异，也需要进一步核对。数字变化说明需要了解情况，并不能单独证明某一种原因。</w:t>
      </w:r>
    </w:p>
    <w:p>
      <w:r>
        <w:t>在安全、方便的情况下，可以留意容易接触的龙头或用水设施是否有异常；不方便查看时不必勉强，更不要进入水表井、拆卸水表或操作公共设施。</w:t>
      </w:r>
    </w:p>
    <w:p>
      <w:r>
        <w:t>如仍有疑问，可通过962001说明账期、空置时间和自己的疑问。员工将按现行流程核对；涉及检测、费用和责任，以有关规则及核实结果为准。请勿在公开评论区留下户号、详细地址或电话。</w:t>
      </w:r>
    </w:p>
    <w:p>
      <w:pPr>
        <w:pStyle w:val="Heading2"/>
      </w:pPr>
      <w:r>
        <w:t>空置房有水量 视频号脚本拟稿</w:t>
      </w:r>
    </w:p>
    <w:p>
      <w:r>
        <w:t>0—5秒｜画面：空房与账单示意；不展示真实账单｜旁白：房子空着，为什么账单还有水量？</w:t>
      </w:r>
    </w:p>
    <w:p>
      <w:r>
        <w:t>5—15秒｜画面：日历叠加：账期与空置时间｜旁白：先对照账单日期和实际空置时间。</w:t>
      </w:r>
    </w:p>
    <w:p>
      <w:r>
        <w:t>15—25秒｜画面：显示读数日期及“待核对”｜旁白：读数方式和设施情况都可能需要核对。</w:t>
      </w:r>
    </w:p>
    <w:p>
      <w:r>
        <w:t>25—35秒｜画面：安全提示与962001｜旁白：不必自行拆表或打开井盖；有疑问请咨询962001。</w:t>
      </w:r>
    </w:p>
    <w:p>
      <w:r>
        <w:t>拍摄说明：数字和画面均为示意；不得将表针状态、历史案例或计算示例作为当前个案结论。</w:t>
      </w:r>
    </w:p>
    <w:p>
      <w:r>
        <w:br w:type="page"/>
      </w:r>
    </w:p>
    <w:p>
      <w:pPr>
        <w:pStyle w:val="Heading1"/>
      </w:pPr>
      <w:r>
        <w:t>二 普通疑似漏水 用户与岗位卡</w:t>
      </w:r>
    </w:p>
    <w:p>
      <w:pPr>
        <w:pStyle w:val="Heading2"/>
      </w:pPr>
      <w:r>
        <w:t>用户短说明</w:t>
      </w:r>
    </w:p>
    <w:p>
      <w:r>
        <w:t>发现路面积水或疑似漏水，请先远离危险区域，在安全位置说明地点、发现时间和看到的现象，通过962001反映。积水来源、设施归属和费用需要核实，您不必先自行判断。</w:t>
      </w:r>
    </w:p>
    <w:p>
      <w:r>
        <w:t>若附近有电气设施、路面塌陷或水流很急，不要靠近、打开井盖或操作公共阀门；危及人身安全时及时联系当地应急救援。</w:t>
      </w:r>
    </w:p>
    <w:p>
      <w:pPr>
        <w:pStyle w:val="Heading2"/>
      </w:pPr>
      <w:r>
        <w:t>员工核对与交接</w:t>
      </w:r>
    </w:p>
    <w:p>
      <w:pPr>
        <w:pStyle w:val="ListBullet"/>
      </w:pPr>
      <w:r>
        <w:t>受理：先识别触电、塌陷和道路风险，不要求用户靠近或拍照；记录位置、时间、现象与用户原话。</w:t>
      </w:r>
    </w:p>
    <w:p>
      <w:pPr>
        <w:pStyle w:val="ListBullet"/>
      </w:pPr>
      <w:r>
        <w:t>核对：按企业现行应急要求识别和传递风险；对漏点、产权界面、管线图及费用均标记已核或待核。</w:t>
      </w:r>
    </w:p>
    <w:p>
      <w:pPr>
        <w:pStyle w:val="ListBullet"/>
      </w:pPr>
      <w:r>
        <w:t>交接：位置线索、风险信息、用户原话、已采取安全措施、未知事项和回告需求一并传递；接收及升级程序待企业核对。</w:t>
      </w:r>
    </w:p>
    <w:p>
      <w:r>
        <w:t>判断边界：不能凭图片或积水直接认定是供水管漏水、设施权属或修复时间；不能仅凭“表前表后”决定所有维修责任与费用。</w:t>
      </w:r>
    </w:p>
    <w:p>
      <w:pPr>
        <w:pStyle w:val="Heading2"/>
      </w:pPr>
      <w:r>
        <w:t>热线及澄澄拟答</w:t>
      </w:r>
    </w:p>
    <w:p>
      <w:r>
        <w:t>热线：您好，请先远离危险区域，不要打开井盖或操作公共阀门。方便时请在安全位置说明大致地点、积水情况，以及附近是否有电气设施或道路塌陷。危及人身安全时请及时联系当地应急救援。</w:t>
      </w:r>
    </w:p>
    <w:p>
      <w:r>
        <w:t>澄澄：请先注意安全，不要靠近电气设施和塌陷区域，不要打开井盖或操作公共阀门。可通过962001反映位置和现象；来源与责任需进一步核实。</w:t>
      </w:r>
    </w:p>
    <w:p>
      <w:r>
        <w:br w:type="page"/>
      </w:r>
    </w:p>
    <w:p>
      <w:pPr>
        <w:pStyle w:val="Heading1"/>
      </w:pPr>
      <w:r>
        <w:t>普通疑似漏水 公众号文章拟稿</w:t>
      </w:r>
    </w:p>
    <w:p>
      <w:r>
        <w:t>题目：发现路面积水或疑似漏水，先做什么？</w:t>
      </w:r>
    </w:p>
    <w:p>
      <w:r>
        <w:t>路面出现积水、水流或潮湿，并不一定都来自供水管道。市民发现后，可以在安全位置记下大致地点、发现时间和看到的现象，通过962001反映。</w:t>
      </w:r>
    </w:p>
    <w:p>
      <w:r>
        <w:t>安全放在第一位。如果积水靠近电气设施、路面出现塌陷，或者水流很急，请先远离，不要打开井盖、进入积水区域或操作公共阀门。危及人身安全时，及时联系当地应急救援。</w:t>
      </w:r>
    </w:p>
    <w:p>
      <w:r>
        <w:t>不必为了提供照片接近危险区域。员工需要进一步了解情况时，可在安全条件下补充附近明显地标和影响范围。管线来源、设施归属、责任和费用，需要依据现场事实和适用规则核实。</w:t>
      </w:r>
    </w:p>
    <w:p>
      <w:r>
        <w:t>已经反映后如情况发生明显变化，可再通过正式渠道说明。请不要在公开评论区留下详细地址、电话等个人信息。</w:t>
      </w:r>
    </w:p>
    <w:p>
      <w:pPr>
        <w:pStyle w:val="Heading2"/>
      </w:pPr>
      <w:r>
        <w:t>普通疑似漏水 视频号脚本拟稿</w:t>
      </w:r>
    </w:p>
    <w:p>
      <w:r>
        <w:t>0—5秒｜画面：路面积水示意；远景拍摄｜旁白：看到积水，先别急着判断来源。</w:t>
      </w:r>
    </w:p>
    <w:p>
      <w:r>
        <w:t>5—15秒｜画面：危险区域、电气设施与井盖警示｜旁白：远离危险处，不要打开井盖或操作公共阀门。</w:t>
      </w:r>
    </w:p>
    <w:p>
      <w:r>
        <w:t>15—25秒｜画面：示意路牌与时间，无真实地址｜旁白：在安全位置记下地点、时间和现象。</w:t>
      </w:r>
    </w:p>
    <w:p>
      <w:r>
        <w:t>25—35秒｜画面：962001及应急提示｜旁白：通过962001反映；危及人身安全时及时联系应急救援。</w:t>
      </w:r>
    </w:p>
    <w:p>
      <w:r>
        <w:t>拍摄说明：严禁安排人员接近带电设施、进入水中或打开井盖拍摄；任何进度与处置画面须经审核并注明示意或真实来源。</w:t>
      </w:r>
    </w:p>
    <w:p>
      <w:r>
        <w:br w:type="page"/>
      </w:r>
    </w:p>
    <w:p>
      <w:pPr>
        <w:pStyle w:val="Heading1"/>
      </w:pPr>
      <w:r>
        <w:t>三 待核清单与维护记录</w:t>
      </w:r>
    </w:p>
    <w:p>
      <w:r>
        <w:t>以下是资料类别与建议归口，不能据此推断企业缺少制度。实际责任人、审核结论、完成日期和资料版本由企业在相应工作发生后填写。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08"/>
        <w:gridCol w:w="4320"/>
        <w:gridCol w:w="2592"/>
        <w:gridCol w:w="1872"/>
      </w:tblGrid>
      <w:tr>
        <w:tc>
          <w:tcPr>
            <w:tcW w:type="dxa" w:w="1008"/>
            <w:shd w:fill="DFEAF1"/>
          </w:tcPr>
          <w:p>
            <w:pPr>
              <w:spacing w:after="60"/>
            </w:pPr>
            <w:r>
              <w:rPr>
                <w:b/>
                <w:sz w:val="18"/>
              </w:rPr>
              <w:t>编号</w:t>
            </w:r>
          </w:p>
        </w:tc>
        <w:tc>
          <w:tcPr>
            <w:tcW w:type="dxa" w:w="4320"/>
            <w:shd w:fill="DFEAF1"/>
          </w:tcPr>
          <w:p>
            <w:pPr>
              <w:spacing w:after="60"/>
            </w:pPr>
            <w:r>
              <w:rPr>
                <w:b/>
                <w:sz w:val="18"/>
              </w:rPr>
              <w:t>待核事项</w:t>
            </w:r>
          </w:p>
        </w:tc>
        <w:tc>
          <w:tcPr>
            <w:tcW w:type="dxa" w:w="2592"/>
            <w:shd w:fill="DFEAF1"/>
          </w:tcPr>
          <w:p>
            <w:pPr>
              <w:spacing w:after="60"/>
            </w:pPr>
            <w:r>
              <w:rPr>
                <w:b/>
                <w:sz w:val="18"/>
              </w:rPr>
              <w:t>建议归口</w:t>
            </w:r>
          </w:p>
        </w:tc>
        <w:tc>
          <w:tcPr>
            <w:tcW w:type="dxa" w:w="1872"/>
            <w:shd w:fill="DFEAF1"/>
          </w:tcPr>
          <w:p>
            <w:pPr>
              <w:spacing w:after="60"/>
            </w:pPr>
            <w:r>
              <w:rPr>
                <w:b/>
                <w:sz w:val="18"/>
              </w:rPr>
              <w:t>状态</w:t>
            </w:r>
          </w:p>
        </w:tc>
      </w:tr>
      <w:tr>
        <w:tc>
          <w:tcPr>
            <w:tcW w:type="dxa" w:w="1008"/>
            <w:vAlign w:val="center"/>
          </w:tcPr>
          <w:p>
            <w:pPr>
              <w:spacing w:after="60"/>
            </w:pPr>
            <w:r>
              <w:rPr>
                <w:sz w:val="18"/>
              </w:rPr>
              <w:t>P01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热线受理、升级、回告及转人工的现行规则与版本</w:t>
            </w:r>
          </w:p>
        </w:tc>
        <w:tc>
          <w:tcPr>
            <w:tcW w:type="dxa" w:w="2592"/>
            <w:vAlign w:val="center"/>
          </w:tcPr>
          <w:p>
            <w:pPr>
              <w:spacing w:after="60"/>
            </w:pPr>
            <w:r>
              <w:rPr>
                <w:sz w:val="18"/>
              </w:rPr>
              <w:t>客服 / 调度</w:t>
            </w:r>
          </w:p>
        </w:tc>
        <w:tc>
          <w:tcPr>
            <w:tcW w:type="dxa" w:w="1872"/>
            <w:vAlign w:val="center"/>
          </w:tcPr>
          <w:p>
            <w:pPr>
              <w:spacing w:after="60"/>
            </w:pPr>
            <w:r>
              <w:rPr>
                <w:sz w:val="18"/>
              </w:rPr>
              <w:t>待核</w:t>
            </w:r>
          </w:p>
        </w:tc>
      </w:tr>
      <w:tr>
        <w:tc>
          <w:tcPr>
            <w:tcW w:type="dxa" w:w="1008"/>
            <w:vAlign w:val="center"/>
          </w:tcPr>
          <w:p>
            <w:pPr>
              <w:spacing w:after="60"/>
            </w:pPr>
            <w:r>
              <w:rPr>
                <w:sz w:val="18"/>
              </w:rPr>
              <w:t>P02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账期、抄见方式、换表读数、异常水量核对及检定争议程序</w:t>
            </w:r>
          </w:p>
        </w:tc>
        <w:tc>
          <w:tcPr>
            <w:tcW w:type="dxa" w:w="2592"/>
            <w:vAlign w:val="center"/>
          </w:tcPr>
          <w:p>
            <w:pPr>
              <w:spacing w:after="60"/>
            </w:pPr>
            <w:r>
              <w:rPr>
                <w:sz w:val="18"/>
              </w:rPr>
              <w:t>营销 / 计量</w:t>
            </w:r>
          </w:p>
        </w:tc>
        <w:tc>
          <w:tcPr>
            <w:tcW w:type="dxa" w:w="1872"/>
            <w:vAlign w:val="center"/>
          </w:tcPr>
          <w:p>
            <w:pPr>
              <w:spacing w:after="60"/>
            </w:pPr>
            <w:r>
              <w:rPr>
                <w:sz w:val="18"/>
              </w:rPr>
              <w:t>待核</w:t>
            </w:r>
          </w:p>
        </w:tc>
      </w:tr>
      <w:tr>
        <w:tc>
          <w:tcPr>
            <w:tcW w:type="dxa" w:w="1008"/>
            <w:vAlign w:val="center"/>
          </w:tcPr>
          <w:p>
            <w:pPr>
              <w:spacing w:after="60"/>
            </w:pPr>
            <w:r>
              <w:rPr>
                <w:sz w:val="18"/>
              </w:rPr>
              <w:t>P03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漏水风险升级、设施归属、产权界面及费用规则</w:t>
            </w:r>
          </w:p>
        </w:tc>
        <w:tc>
          <w:tcPr>
            <w:tcW w:type="dxa" w:w="2592"/>
            <w:vAlign w:val="center"/>
          </w:tcPr>
          <w:p>
            <w:pPr>
              <w:spacing w:after="60"/>
            </w:pPr>
            <w:r>
              <w:rPr>
                <w:sz w:val="18"/>
              </w:rPr>
              <w:t>管网 / 法务</w:t>
            </w:r>
          </w:p>
        </w:tc>
        <w:tc>
          <w:tcPr>
            <w:tcW w:type="dxa" w:w="1872"/>
            <w:vAlign w:val="center"/>
          </w:tcPr>
          <w:p>
            <w:pPr>
              <w:spacing w:after="60"/>
            </w:pPr>
            <w:r>
              <w:rPr>
                <w:sz w:val="18"/>
              </w:rPr>
              <w:t>待核</w:t>
            </w:r>
          </w:p>
        </w:tc>
      </w:tr>
      <w:tr>
        <w:tc>
          <w:tcPr>
            <w:tcW w:type="dxa" w:w="1008"/>
            <w:vAlign w:val="center"/>
          </w:tcPr>
          <w:p>
            <w:pPr>
              <w:spacing w:after="60"/>
            </w:pPr>
            <w:r>
              <w:rPr>
                <w:sz w:val="18"/>
              </w:rPr>
              <w:t>P04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公众号、视频号、澄澄实际入口及适用对象</w:t>
            </w:r>
          </w:p>
        </w:tc>
        <w:tc>
          <w:tcPr>
            <w:tcW w:type="dxa" w:w="2592"/>
            <w:vAlign w:val="center"/>
          </w:tcPr>
          <w:p>
            <w:pPr>
              <w:spacing w:after="60"/>
            </w:pPr>
            <w:r>
              <w:rPr>
                <w:sz w:val="18"/>
              </w:rPr>
              <w:t>客服 / 宣传 / 信息</w:t>
            </w:r>
          </w:p>
        </w:tc>
        <w:tc>
          <w:tcPr>
            <w:tcW w:type="dxa" w:w="1872"/>
            <w:vAlign w:val="center"/>
          </w:tcPr>
          <w:p>
            <w:pPr>
              <w:spacing w:after="60"/>
            </w:pPr>
            <w:r>
              <w:rPr>
                <w:sz w:val="18"/>
              </w:rPr>
              <w:t>待核</w:t>
            </w:r>
          </w:p>
        </w:tc>
      </w:tr>
      <w:tr>
        <w:tc>
          <w:tcPr>
            <w:tcW w:type="dxa" w:w="1008"/>
            <w:vAlign w:val="center"/>
          </w:tcPr>
          <w:p>
            <w:pPr>
              <w:spacing w:after="60"/>
            </w:pPr>
            <w:r>
              <w:rPr>
                <w:sz w:val="18"/>
              </w:rPr>
              <w:t>P05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内容公开范围、发布授权、个人信息与保存规定</w:t>
            </w:r>
          </w:p>
        </w:tc>
        <w:tc>
          <w:tcPr>
            <w:tcW w:type="dxa" w:w="2592"/>
            <w:vAlign w:val="center"/>
          </w:tcPr>
          <w:p>
            <w:pPr>
              <w:spacing w:after="60"/>
            </w:pPr>
            <w:r>
              <w:rPr>
                <w:sz w:val="18"/>
              </w:rPr>
              <w:t>宣传 / 合规 / 信息</w:t>
            </w:r>
          </w:p>
        </w:tc>
        <w:tc>
          <w:tcPr>
            <w:tcW w:type="dxa" w:w="1872"/>
            <w:vAlign w:val="center"/>
          </w:tcPr>
          <w:p>
            <w:pPr>
              <w:spacing w:after="60"/>
            </w:pPr>
            <w:r>
              <w:rPr>
                <w:sz w:val="18"/>
              </w:rPr>
              <w:t>待核</w:t>
            </w:r>
          </w:p>
        </w:tc>
      </w:tr>
      <w:tr>
        <w:tc>
          <w:tcPr>
            <w:tcW w:type="dxa" w:w="1008"/>
            <w:vAlign w:val="center"/>
          </w:tcPr>
          <w:p>
            <w:pPr>
              <w:spacing w:after="60"/>
            </w:pPr>
            <w:r>
              <w:rPr>
                <w:sz w:val="18"/>
              </w:rPr>
              <w:t>P06</w:t>
            </w:r>
          </w:p>
        </w:tc>
        <w:tc>
          <w:tcPr>
            <w:tcW w:type="dxa" w:w="4320"/>
            <w:vAlign w:val="center"/>
          </w:tcPr>
          <w:p>
            <w:pPr>
              <w:spacing w:after="60"/>
            </w:pPr>
            <w:r>
              <w:rPr>
                <w:sz w:val="18"/>
              </w:rPr>
              <w:t>历史文章原文、文章时间、素材使用权和现行适用性</w:t>
            </w:r>
          </w:p>
        </w:tc>
        <w:tc>
          <w:tcPr>
            <w:tcW w:type="dxa" w:w="2592"/>
            <w:vAlign w:val="center"/>
          </w:tcPr>
          <w:p>
            <w:pPr>
              <w:spacing w:after="60"/>
            </w:pPr>
            <w:r>
              <w:rPr>
                <w:sz w:val="18"/>
              </w:rPr>
              <w:t>知识维护 / 宣传</w:t>
            </w:r>
          </w:p>
        </w:tc>
        <w:tc>
          <w:tcPr>
            <w:tcW w:type="dxa" w:w="1872"/>
            <w:vAlign w:val="center"/>
          </w:tcPr>
          <w:p>
            <w:pPr>
              <w:spacing w:after="60"/>
            </w:pPr>
            <w:r>
              <w:rPr>
                <w:sz w:val="18"/>
              </w:rPr>
              <w:t>待核</w:t>
            </w:r>
          </w:p>
        </w:tc>
      </w:tr>
    </w:tbl>
    <w:p>
      <w:pPr>
        <w:pStyle w:val="Heading2"/>
      </w:pPr>
      <w:r>
        <w:t>版本与渠道记录模板</w:t>
      </w:r>
    </w:p>
    <w:p>
      <w:r>
        <w:t>知识编号：________  变更日期：________  旧版本：________  新版本：________</w:t>
      </w:r>
    </w:p>
    <w:p>
      <w:r>
        <w:t>修订原因及依据：____________________________________________________________</w:t>
      </w:r>
    </w:p>
    <w:p>
      <w:r>
        <w:t>拟影响渠道及对应版本：______________________________________________________</w:t>
      </w:r>
    </w:p>
    <w:p>
      <w:r>
        <w:t>审核岗位／实际审核人：________________  结论：待核 / 通过 / 退回 / 失效</w:t>
      </w:r>
    </w:p>
    <w:p>
      <w:r>
        <w:t>发布或撤回时间、操作人及记录：______________________________________________</w:t>
      </w:r>
    </w:p>
    <w:p>
      <w:r>
        <w:t>注意：未实际审核、发布、测试或回访的字段留空；不要将桌面推演写成真实用户反馈。</w:t>
      </w:r>
    </w:p>
    <w:p>
      <w:pPr>
        <w:pStyle w:val="Heading1"/>
      </w:pPr>
      <w:r>
        <w:t>四 来源与适用边界</w:t>
      </w:r>
    </w:p>
    <w:p>
      <w:r>
        <w:t>1. 《澄水962001五类场景边界问题与依据对照 V1.0》：B01、B02、B04；2026年11月8日修订快照。该报告为桌面稿，不代替企业现行制度。</w:t>
      </w:r>
    </w:p>
    <w:p>
      <w:r>
        <w:t>2. 《江南水务962001历史推文与服务案例研究》：A03（2020年异常水量文章）、A04（2019年远传表预警）、A12（2019年微信报修）作为历史线索。推文图文、原始链接及当前入口、功能、覆盖和执行成效仍须逐项核对。</w:t>
      </w:r>
    </w:p>
    <w:p>
      <w:r>
        <w:t>3. 国务院《供水条例》公开文本：https://www.mohurd.gov.cn/gongkai/fdzdgknr/zgzygwywj/art/2026/art_b453b88ce34c48ca927d903cc7ceb355.html 。具体条款适用与企业现行规则由有职责岗位核对。</w:t>
      </w:r>
    </w:p>
    <w:p>
      <w:r>
        <w:t>4. 江阴市政府2021年访谈：https://www.jiangyin.gov.cn/doc/2021/06/11/957741.shtml 。作为历史背景，不证明目前业务入口或实际运行情况。</w:t>
      </w:r>
    </w:p>
    <w:sectPr w:rsidR="00FC693F" w:rsidRPr="0006063C" w:rsidSect="00034616">
      <w:pgSz w:w="12240" w:h="15840"/>
      <w:pgMar w:top="1080" w:right="1152" w:bottom="108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 w:eastAsia="Microsoft YaHe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Microsoft YaHei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Microsoft YaHe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Microsoft YaHei"/>
      <w:color w:val="000000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